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FC" w:rsidRPr="00431CEB" w:rsidRDefault="00431CEB" w:rsidP="00431CEB">
      <w:pPr>
        <w:adjustRightInd w:val="0"/>
        <w:snapToGrid w:val="0"/>
        <w:spacing w:line="360" w:lineRule="auto"/>
        <w:jc w:val="center"/>
        <w:rPr>
          <w:rFonts w:ascii="楷体_GB2312" w:eastAsia="楷体_GB2312" w:hAnsi="宋体"/>
          <w:bCs/>
          <w:sz w:val="28"/>
        </w:rPr>
      </w:pPr>
      <w:r w:rsidRPr="00431CEB">
        <w:rPr>
          <w:rFonts w:ascii="楷体_GB2312" w:eastAsia="楷体_GB2312" w:hAnsi="宋体" w:hint="eastAsia"/>
          <w:bCs/>
          <w:sz w:val="28"/>
        </w:rPr>
        <w:t>课程建设质量评估指标体系</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20"/>
        <w:gridCol w:w="900"/>
        <w:gridCol w:w="4725"/>
        <w:gridCol w:w="495"/>
        <w:gridCol w:w="330"/>
        <w:gridCol w:w="360"/>
        <w:gridCol w:w="360"/>
        <w:gridCol w:w="360"/>
      </w:tblGrid>
      <w:tr w:rsidR="00431CEB" w:rsidTr="00F83329">
        <w:tblPrEx>
          <w:tblCellMar>
            <w:top w:w="0" w:type="dxa"/>
            <w:bottom w:w="0" w:type="dxa"/>
          </w:tblCellMar>
        </w:tblPrEx>
        <w:tc>
          <w:tcPr>
            <w:tcW w:w="468"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一级指标</w:t>
            </w:r>
          </w:p>
        </w:tc>
        <w:tc>
          <w:tcPr>
            <w:tcW w:w="72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二级指标</w:t>
            </w:r>
          </w:p>
        </w:tc>
        <w:tc>
          <w:tcPr>
            <w:tcW w:w="90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主要</w:t>
            </w:r>
          </w:p>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观测点</w:t>
            </w:r>
          </w:p>
        </w:tc>
        <w:tc>
          <w:tcPr>
            <w:tcW w:w="4725"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评审标准</w:t>
            </w:r>
          </w:p>
        </w:tc>
        <w:tc>
          <w:tcPr>
            <w:tcW w:w="495"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总分值</w:t>
            </w:r>
          </w:p>
        </w:tc>
        <w:tc>
          <w:tcPr>
            <w:tcW w:w="33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优</w:t>
            </w:r>
          </w:p>
        </w:tc>
        <w:tc>
          <w:tcPr>
            <w:tcW w:w="36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良</w:t>
            </w:r>
          </w:p>
        </w:tc>
        <w:tc>
          <w:tcPr>
            <w:tcW w:w="36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合格</w:t>
            </w:r>
          </w:p>
        </w:tc>
        <w:tc>
          <w:tcPr>
            <w:tcW w:w="360" w:type="dxa"/>
            <w:vAlign w:val="center"/>
          </w:tcPr>
          <w:p w:rsidR="00431CEB" w:rsidRDefault="00431CEB" w:rsidP="00F83329">
            <w:pPr>
              <w:adjustRightInd w:val="0"/>
              <w:snapToGrid w:val="0"/>
              <w:jc w:val="center"/>
              <w:rPr>
                <w:rFonts w:ascii="楷体_GB2312" w:eastAsia="楷体_GB2312" w:hint="eastAsia"/>
                <w:b/>
                <w:bCs/>
              </w:rPr>
            </w:pPr>
            <w:r>
              <w:rPr>
                <w:rFonts w:ascii="楷体_GB2312" w:eastAsia="楷体_GB2312" w:hint="eastAsia"/>
                <w:b/>
                <w:bCs/>
              </w:rPr>
              <w:t>不合格</w:t>
            </w: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一</w:t>
            </w:r>
          </w:p>
          <w:p w:rsidR="00431CEB" w:rsidRDefault="00431CEB" w:rsidP="00F83329">
            <w:pPr>
              <w:adjustRightInd w:val="0"/>
              <w:snapToGrid w:val="0"/>
              <w:jc w:val="center"/>
              <w:rPr>
                <w:rFonts w:ascii="楷体_GB2312" w:eastAsia="楷体_GB2312" w:hint="eastAsia"/>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课程设置10分</w:t>
            </w:r>
          </w:p>
        </w:tc>
        <w:tc>
          <w:tcPr>
            <w:tcW w:w="720" w:type="dxa"/>
            <w:tcBorders>
              <w:bottom w:val="nil"/>
            </w:tcBorders>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1-1课程定位</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性质与</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作用</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专业课程体系符合高技能人才培养目标和专业相关技术领域职业岗位(群)的任职要求;本课程对学生职业能力培养和职业素养养成起明显促进作用,且与前、续课程衔接得当。</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4</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tcBorders>
              <w:bottom w:val="nil"/>
            </w:tcBorders>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1-2课程设计</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理念与</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思路</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以职业能力培养为重点，与行业企业合作进行基于工作过程的课程开发与设计，充分体现职业性、实践性和开放性的要求。</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6</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二</w:t>
            </w:r>
          </w:p>
          <w:p w:rsidR="00431CEB" w:rsidRDefault="00431CEB" w:rsidP="00F83329">
            <w:pPr>
              <w:adjustRightInd w:val="0"/>
              <w:snapToGrid w:val="0"/>
              <w:jc w:val="center"/>
              <w:rPr>
                <w:rFonts w:ascii="楷体_GB2312" w:eastAsia="楷体_GB2312" w:hint="eastAsia"/>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教学内容25分</w:t>
            </w:r>
          </w:p>
        </w:tc>
        <w:tc>
          <w:tcPr>
            <w:tcW w:w="720" w:type="dxa"/>
            <w:tcBorders>
              <w:bottom w:val="nil"/>
            </w:tcBorders>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2-1内容选取</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针对性和适用性</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根据行业企业发展需要和完成职业岗位实际工作任务所需要的知识、能力、素质要求，选取教学内容，并为学生可持续性发展奠定良好基础。</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10</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tcBorders>
              <w:bottom w:val="nil"/>
            </w:tcBorders>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2-2内容组织</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组织与</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安排</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遵循学生职业能力培养的基本规律，以真实工作任务及其工作过程为依据整合教学内容，科学设计学习性工作任务，教、学、做结合，理论与实践一体化，实训、实习等教学环节设计合理。</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10</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2-3表现形式</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教材及相关资料</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选用先进、适用教材，与行业企业合作编写工学结合特色教材，课件、案例、习题、实训实习项目、学习指南等教学相关资料齐全，符合课程设计要求，满足网络课程教学需要。</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5</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三</w:t>
            </w:r>
          </w:p>
          <w:p w:rsidR="00431CEB" w:rsidRDefault="00431CEB" w:rsidP="00F83329">
            <w:pPr>
              <w:adjustRightInd w:val="0"/>
              <w:snapToGrid w:val="0"/>
              <w:jc w:val="center"/>
              <w:rPr>
                <w:rFonts w:ascii="楷体_GB2312" w:eastAsia="楷体_GB2312" w:hint="eastAsia"/>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教学方法与手段</w:t>
            </w:r>
            <w:r>
              <w:rPr>
                <w:rFonts w:ascii="楷体_GB2312" w:eastAsia="楷体_GB2312" w:hint="eastAsia"/>
              </w:rPr>
              <w:lastRenderedPageBreak/>
              <w:t>25分</w:t>
            </w: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lastRenderedPageBreak/>
              <w:t>3-1教学设计</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教学模式</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重视学生在校学习与实际工作的一致性，有针对性地采取工学交替、任务驱动、项目导向、课堂与实习地点一体化等行动导向的教学模式。</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8</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3-2教学方法</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教学方法的运用</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根据课程内容和学生特点，灵活运用案例分析、分组讨论、角色扮演、启发引导等教学方法，引导学生积极思考、乐于实践，提高教学效果。</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6</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tcBorders>
              <w:bottom w:val="nil"/>
            </w:tcBorders>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3-3教学手段</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信息技术的应用</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运用现代教育技术和虚拟现实技术，建立虚拟仿真教学环境，优化教学过程，提高教学质量和效率，取得实效。</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6</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3-4网络教学环境</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网络教学资源和硬件环境</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网络教学资源丰富，架构合理，硬件环境能够支撑网络课程的正常运行，并能有效共享。</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5</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lastRenderedPageBreak/>
              <w:t>四</w:t>
            </w:r>
          </w:p>
          <w:p w:rsidR="00431CEB" w:rsidRDefault="00431CEB" w:rsidP="00F83329">
            <w:pPr>
              <w:adjustRightInd w:val="0"/>
              <w:snapToGrid w:val="0"/>
              <w:jc w:val="center"/>
              <w:rPr>
                <w:rFonts w:ascii="楷体_GB2312" w:eastAsia="楷体_GB2312" w:hint="eastAsia"/>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教学队伍20分</w:t>
            </w: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4-1主讲教师</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师德、能力与水平</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师德高尚、治学严谨；执教能力强，教学效果好，参与和承担教育研究或教学改革项目，成果显著；与行业联系密切，参与校企合作或相关专业技术服务项目，成效显著，并在行业有一定影响。</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10</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4-2教学队伍结构</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师资队伍结构、专兼职比例</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专任教师中职称、学历结构合理，有一定比例“双师”素质教师，专业教师中有来自行业的兼职教师，并符合教学实施的要求；行业兼职教师承担有适当比例的课程教学任务，特别是主要的实践教学任务。</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10</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五</w:t>
            </w:r>
          </w:p>
          <w:p w:rsidR="00431CEB" w:rsidRDefault="00431CEB" w:rsidP="00F83329">
            <w:pPr>
              <w:adjustRightInd w:val="0"/>
              <w:snapToGrid w:val="0"/>
              <w:jc w:val="center"/>
              <w:rPr>
                <w:rFonts w:ascii="楷体_GB2312" w:eastAsia="楷体_GB2312" w:hint="eastAsia"/>
                <w:sz w:val="18"/>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实践条件</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10</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分</w:t>
            </w: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5-1校内实训条件</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设备与环境</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实训基地由行业与学校共同参与建设，能够满足课程实训或仿真实训的需要、设备、设施利用率高。</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6</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5-2校外实习环境</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建设与利用</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布点合理，功能明确，为课程的实践教学提供模拟环境，能够满足学生了解行业实际、体验未来工作的需要。</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4</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restart"/>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六</w:t>
            </w:r>
          </w:p>
          <w:p w:rsidR="00431CEB" w:rsidRDefault="00431CEB" w:rsidP="00F83329">
            <w:pPr>
              <w:adjustRightInd w:val="0"/>
              <w:snapToGrid w:val="0"/>
              <w:jc w:val="center"/>
              <w:rPr>
                <w:rFonts w:ascii="楷体_GB2312" w:eastAsia="楷体_GB2312" w:hint="eastAsia"/>
              </w:rPr>
            </w:pP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教学效果</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10</w:t>
            </w:r>
          </w:p>
          <w:p w:rsidR="00431CEB" w:rsidRDefault="00431CEB" w:rsidP="00F83329">
            <w:pPr>
              <w:adjustRightInd w:val="0"/>
              <w:snapToGrid w:val="0"/>
              <w:jc w:val="center"/>
              <w:rPr>
                <w:rFonts w:ascii="楷体_GB2312" w:eastAsia="楷体_GB2312" w:hint="eastAsia"/>
              </w:rPr>
            </w:pPr>
            <w:r>
              <w:rPr>
                <w:rFonts w:ascii="楷体_GB2312" w:eastAsia="楷体_GB2312" w:hint="eastAsia"/>
              </w:rPr>
              <w:t>分</w:t>
            </w: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6-1教学评价</w:t>
            </w:r>
          </w:p>
        </w:tc>
        <w:tc>
          <w:tcPr>
            <w:tcW w:w="900" w:type="dxa"/>
            <w:vAlign w:val="center"/>
          </w:tcPr>
          <w:p w:rsidR="00431CEB" w:rsidRDefault="00431CEB" w:rsidP="00F83329">
            <w:pPr>
              <w:adjustRightInd w:val="0"/>
              <w:snapToGrid w:val="0"/>
              <w:ind w:rightChars="-51" w:right="-107"/>
              <w:jc w:val="center"/>
              <w:rPr>
                <w:rFonts w:ascii="楷体_GB2312" w:eastAsia="楷体_GB2312" w:hint="eastAsia"/>
              </w:rPr>
            </w:pPr>
            <w:r>
              <w:rPr>
                <w:rFonts w:ascii="楷体_GB2312" w:eastAsia="楷体_GB2312" w:hint="eastAsia"/>
              </w:rPr>
              <w:t>专家、督导及学生评价</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校外专家、行业专家、校内督导及学生评价结果优良。</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5</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468" w:type="dxa"/>
            <w:vMerge/>
            <w:vAlign w:val="center"/>
          </w:tcPr>
          <w:p w:rsidR="00431CEB" w:rsidRDefault="00431CEB" w:rsidP="00F83329">
            <w:pPr>
              <w:adjustRightInd w:val="0"/>
              <w:snapToGrid w:val="0"/>
              <w:jc w:val="center"/>
              <w:rPr>
                <w:rFonts w:ascii="楷体_GB2312" w:eastAsia="楷体_GB2312" w:hint="eastAsia"/>
              </w:rPr>
            </w:pPr>
          </w:p>
        </w:tc>
        <w:tc>
          <w:tcPr>
            <w:tcW w:w="72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6-2社会评价</w:t>
            </w:r>
          </w:p>
        </w:tc>
        <w:tc>
          <w:tcPr>
            <w:tcW w:w="900" w:type="dxa"/>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社会认可度</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学会实际动手能力强，实训、实习产品能够体现应用价值；课程对应或相关的职业资格证书或专业技能水平证书获取率高，相应技能竞赛获奖率高。</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5</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r w:rsidR="00431CEB" w:rsidTr="00F83329">
        <w:tblPrEx>
          <w:tblCellMar>
            <w:top w:w="0" w:type="dxa"/>
            <w:bottom w:w="0" w:type="dxa"/>
          </w:tblCellMar>
        </w:tblPrEx>
        <w:trPr>
          <w:cantSplit/>
        </w:trPr>
        <w:tc>
          <w:tcPr>
            <w:tcW w:w="2088" w:type="dxa"/>
            <w:gridSpan w:val="3"/>
            <w:vAlign w:val="center"/>
          </w:tcPr>
          <w:p w:rsidR="00431CEB" w:rsidRDefault="00431CEB" w:rsidP="00F83329">
            <w:pPr>
              <w:adjustRightInd w:val="0"/>
              <w:snapToGrid w:val="0"/>
              <w:jc w:val="center"/>
              <w:rPr>
                <w:rFonts w:ascii="楷体_GB2312" w:eastAsia="楷体_GB2312" w:hint="eastAsia"/>
              </w:rPr>
            </w:pPr>
            <w:r>
              <w:rPr>
                <w:rFonts w:ascii="楷体_GB2312" w:eastAsia="楷体_GB2312" w:hint="eastAsia"/>
              </w:rPr>
              <w:t>特色</w:t>
            </w:r>
          </w:p>
        </w:tc>
        <w:tc>
          <w:tcPr>
            <w:tcW w:w="472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特色与创新</w:t>
            </w:r>
          </w:p>
        </w:tc>
        <w:tc>
          <w:tcPr>
            <w:tcW w:w="495" w:type="dxa"/>
            <w:vAlign w:val="center"/>
          </w:tcPr>
          <w:p w:rsidR="00431CEB" w:rsidRDefault="00431CEB" w:rsidP="00F83329">
            <w:pPr>
              <w:adjustRightInd w:val="0"/>
              <w:snapToGrid w:val="0"/>
              <w:rPr>
                <w:rFonts w:ascii="楷体_GB2312" w:eastAsia="楷体_GB2312" w:hint="eastAsia"/>
              </w:rPr>
            </w:pPr>
            <w:r>
              <w:rPr>
                <w:rFonts w:ascii="楷体_GB2312" w:eastAsia="楷体_GB2312" w:hint="eastAsia"/>
              </w:rPr>
              <w:t>10</w:t>
            </w:r>
          </w:p>
        </w:tc>
        <w:tc>
          <w:tcPr>
            <w:tcW w:w="33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c>
          <w:tcPr>
            <w:tcW w:w="360" w:type="dxa"/>
          </w:tcPr>
          <w:p w:rsidR="00431CEB" w:rsidRDefault="00431CEB" w:rsidP="00F83329">
            <w:pPr>
              <w:rPr>
                <w:rFonts w:ascii="楷体_GB2312" w:eastAsia="楷体_GB2312" w:hint="eastAsia"/>
              </w:rPr>
            </w:pPr>
          </w:p>
        </w:tc>
      </w:tr>
    </w:tbl>
    <w:p w:rsidR="00431CEB" w:rsidRDefault="00431CEB" w:rsidP="00431CEB">
      <w:pPr>
        <w:tabs>
          <w:tab w:val="center" w:pos="5387"/>
        </w:tabs>
        <w:rPr>
          <w:rFonts w:hint="eastAsia"/>
        </w:rPr>
      </w:pPr>
      <w:r>
        <w:rPr>
          <w:rFonts w:ascii="楷体_GB2312" w:eastAsia="楷体_GB2312" w:hAnsi="宋体" w:hint="eastAsia"/>
        </w:rPr>
        <w:t>注：各档次系数，优：100%-90%，良：89%-80%，合格：79%-60%，不合格：59%-0。</w:t>
      </w:r>
    </w:p>
    <w:p w:rsidR="00B52009" w:rsidRPr="00431CEB" w:rsidRDefault="00B52009"/>
    <w:sectPr w:rsidR="00B52009" w:rsidRPr="00431CEB" w:rsidSect="00A042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7AB" w:rsidRDefault="00B957AB" w:rsidP="001721FC">
      <w:pPr>
        <w:ind w:firstLine="480"/>
      </w:pPr>
      <w:r>
        <w:separator/>
      </w:r>
    </w:p>
  </w:endnote>
  <w:endnote w:type="continuationSeparator" w:id="1">
    <w:p w:rsidR="00B957AB" w:rsidRDefault="00B957AB" w:rsidP="001721FC">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7AB" w:rsidRDefault="00B957AB" w:rsidP="001721FC">
      <w:pPr>
        <w:ind w:firstLine="480"/>
      </w:pPr>
      <w:r>
        <w:separator/>
      </w:r>
    </w:p>
  </w:footnote>
  <w:footnote w:type="continuationSeparator" w:id="1">
    <w:p w:rsidR="00B957AB" w:rsidRDefault="00B957AB" w:rsidP="001721FC">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1FC"/>
    <w:rsid w:val="001721FC"/>
    <w:rsid w:val="00431CEB"/>
    <w:rsid w:val="00A0427C"/>
    <w:rsid w:val="00B52009"/>
    <w:rsid w:val="00B957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1FC"/>
    <w:rPr>
      <w:sz w:val="18"/>
      <w:szCs w:val="18"/>
    </w:rPr>
  </w:style>
  <w:style w:type="paragraph" w:styleId="a4">
    <w:name w:val="footer"/>
    <w:basedOn w:val="a"/>
    <w:link w:val="Char0"/>
    <w:uiPriority w:val="99"/>
    <w:semiHidden/>
    <w:unhideWhenUsed/>
    <w:rsid w:val="001721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2014-10-10T07:33:00Z</dcterms:created>
  <dcterms:modified xsi:type="dcterms:W3CDTF">2014-10-10T08:23:00Z</dcterms:modified>
</cp:coreProperties>
</file>