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900" w:firstLineChars="300"/>
      </w:pPr>
      <w:r>
        <w:t>拉萨师范学院优化电路线路及设备更换项目综合评分表</w:t>
      </w:r>
    </w:p>
    <w:p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7"/>
        <w:gridCol w:w="1815"/>
        <w:gridCol w:w="1058"/>
        <w:gridCol w:w="2698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评审项目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评审内容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一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技术方案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50分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1.1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总体技术响应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方案是否完全响应招标文件要求，有无实质性偏离。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完全响应得10分，有1项非实质性偏离扣2分，扣完为止。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1.2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高压部分技术方案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15分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高压联络柜微机综保装置选型合理性、技术参数先进性，优化方案的可行性。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根据方案的技术先进性、针对性和可行性综合评分：优（12-15分）、良（8-11分）、中（4-7分）、差（0-3分）。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1.3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UPS直流屏系统方案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15分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UPS直流屏系统的品牌、规格、技术参数是否满足负载需求，安装方案是否合理。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根据方案的技术先进性、针对性和可行性综合评分：优（12-15分）、良（8-11分）、中（4-7分）、差（0-3分）。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1.4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低压柜及线路整理方案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备用断路器选型匹配度，线路整理和标识方案的规范性、安全性。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根据方案的规范性、安全性和合理性综合评分：优（8-10分）、良（5-7分）、中（3-4分）、差（0-2分）。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二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商务报价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30分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2.1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报价合理性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以有效报价中的最低价为基准价，投标报价得分=（基准价/投标报价）×30。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价格得分按上述公式计算，保留小数点后两位。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三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售后服务及其他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20分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3.1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质保期承诺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8分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质保期是否满足或优于要求（建议不少于1年），质保方案是否完善。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质保期1年得4分，每增加1年加2分，满分8分；质保方案不完善酌情扣分。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3.2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售后服务响应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故障响应时间、解决问题时间及售后服务团队配置情况。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2小时内响应且24小时内解决得6分，每延迟1小时扣1分，扣完为止。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3.3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企业实力及业绩</w:t>
            </w: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供应商类似项目业绩、相关资质认证（如电力施工资质、ISO认证等）。</w:t>
            </w: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提供1个类似项目合同得2分，最多得4分；提供相关资质认证每项得1分，最多得2分。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总计</w:t>
            </w:r>
          </w:p>
        </w:tc>
        <w:tc>
          <w:tcPr>
            <w:tcW w:w="18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0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100分</w:t>
            </w:r>
          </w:p>
        </w:tc>
        <w:tc>
          <w:tcPr>
            <w:tcW w:w="269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9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16"/>
      </w:pPr>
    </w:p>
    <w:p>
      <w:pPr>
        <w:pStyle w:val="16"/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ompat>
    <w:useFELayout/>
    <w:compatSetting w:name="compatibilityMode" w:uri="http://schemas.microsoft.com/office/word" w:val="15"/>
  </w:compat>
  <w:rsids>
    <w:rsidRoot w:val="00000000"/>
    <w:rsid w:val="EFB77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Un-named</dc:creator>
  <cp:lastModifiedBy>huawei</cp:lastModifiedBy>
  <dcterms:modified xsi:type="dcterms:W3CDTF">2025-11-05T12:36:58Z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