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sz w:val="28"/>
          <w:szCs w:val="36"/>
          <w:lang w:val="en-US" w:eastAsia="zh-CN"/>
        </w:rPr>
      </w:pPr>
      <w:r>
        <w:rPr>
          <w:rFonts w:hint="eastAsia"/>
          <w:b/>
          <w:bCs/>
          <w:sz w:val="28"/>
          <w:szCs w:val="36"/>
          <w:lang w:val="en-US" w:eastAsia="zh-CN"/>
        </w:rPr>
        <w:t>附件：2</w:t>
      </w:r>
    </w:p>
    <w:p>
      <w:pPr>
        <w:jc w:val="center"/>
        <w:rPr>
          <w:rFonts w:hint="eastAsia"/>
          <w:b/>
          <w:bCs/>
          <w:sz w:val="32"/>
          <w:szCs w:val="40"/>
          <w:lang w:val="en-US" w:eastAsia="zh-CN"/>
        </w:rPr>
      </w:pPr>
      <w:r>
        <w:rPr>
          <w:rFonts w:hint="eastAsia"/>
          <w:b/>
          <w:bCs/>
          <w:sz w:val="32"/>
          <w:szCs w:val="40"/>
          <w:lang w:val="en-US" w:eastAsia="zh-CN"/>
        </w:rPr>
        <w:t>拉萨师范学院教室智能时钟系统采购项目评分标准</w:t>
      </w:r>
      <w:bookmarkStart w:id="0" w:name="_GoBack"/>
      <w:bookmarkEnd w:id="0"/>
    </w:p>
    <w:tbl>
      <w:tblPr>
        <w:tblStyle w:val="9"/>
        <w:tblpPr w:leftFromText="180" w:rightFromText="180" w:vertAnchor="text" w:horzAnchor="page" w:tblpX="745" w:tblpY="890"/>
        <w:tblOverlap w:val="never"/>
        <w:tblW w:w="10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52"/>
        <w:gridCol w:w="1163"/>
        <w:gridCol w:w="6543"/>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64" w:type="dxa"/>
            <w:vAlign w:val="center"/>
          </w:tcPr>
          <w:p>
            <w:pPr>
              <w:shd w:val="clear" w:color="auto" w:fill="FFFFFF"/>
              <w:spacing w:line="380" w:lineRule="exact"/>
              <w:jc w:val="center"/>
              <w:rPr>
                <w:rFonts w:hint="eastAsia" w:ascii="宋体" w:hAnsi="宋体" w:eastAsia="宋体" w:cs="宋体"/>
                <w:b/>
                <w:bCs/>
                <w:color w:val="auto"/>
                <w:sz w:val="18"/>
                <w:szCs w:val="18"/>
                <w:shd w:val="clear" w:color="auto" w:fill="FFFFFF"/>
              </w:rPr>
            </w:pPr>
            <w:r>
              <w:rPr>
                <w:rFonts w:hint="eastAsia" w:ascii="宋体" w:hAnsi="宋体" w:eastAsia="宋体" w:cs="宋体"/>
                <w:b/>
                <w:color w:val="auto"/>
                <w:sz w:val="18"/>
                <w:szCs w:val="18"/>
              </w:rPr>
              <w:t>序号</w:t>
            </w:r>
          </w:p>
        </w:tc>
        <w:tc>
          <w:tcPr>
            <w:tcW w:w="2015" w:type="dxa"/>
            <w:gridSpan w:val="2"/>
            <w:vAlign w:val="center"/>
          </w:tcPr>
          <w:p>
            <w:pPr>
              <w:shd w:val="clear" w:color="auto" w:fill="FFFFFF"/>
              <w:spacing w:line="380" w:lineRule="exact"/>
              <w:jc w:val="center"/>
              <w:rPr>
                <w:rFonts w:hint="eastAsia" w:ascii="宋体" w:hAnsi="宋体" w:eastAsia="宋体" w:cs="宋体"/>
                <w:b/>
                <w:bCs/>
                <w:color w:val="auto"/>
                <w:sz w:val="18"/>
                <w:szCs w:val="18"/>
                <w:shd w:val="clear" w:color="auto" w:fill="FFFFFF"/>
              </w:rPr>
            </w:pPr>
            <w:r>
              <w:rPr>
                <w:rFonts w:hint="eastAsia" w:ascii="宋体" w:hAnsi="宋体" w:eastAsia="宋体" w:cs="宋体"/>
                <w:b/>
                <w:bCs/>
                <w:color w:val="auto"/>
                <w:sz w:val="18"/>
                <w:szCs w:val="18"/>
                <w:shd w:val="clear" w:color="auto" w:fill="FFFFFF"/>
              </w:rPr>
              <w:t>评分内容</w:t>
            </w:r>
          </w:p>
        </w:tc>
        <w:tc>
          <w:tcPr>
            <w:tcW w:w="6543" w:type="dxa"/>
            <w:vAlign w:val="center"/>
          </w:tcPr>
          <w:p>
            <w:pPr>
              <w:shd w:val="solid" w:color="FFFFFF" w:fill="FFFFFF"/>
              <w:autoSpaceDN w:val="0"/>
              <w:spacing w:line="380" w:lineRule="exact"/>
              <w:jc w:val="center"/>
              <w:rPr>
                <w:rFonts w:hint="eastAsia" w:ascii="宋体" w:hAnsi="宋体" w:eastAsia="宋体" w:cs="宋体"/>
                <w:b/>
                <w:bCs/>
                <w:color w:val="auto"/>
                <w:sz w:val="18"/>
                <w:szCs w:val="18"/>
                <w:shd w:val="clear" w:color="auto" w:fill="FFFFFF"/>
              </w:rPr>
            </w:pPr>
            <w:r>
              <w:rPr>
                <w:rFonts w:hint="eastAsia" w:ascii="宋体" w:hAnsi="宋体" w:eastAsia="宋体" w:cs="宋体"/>
                <w:b/>
                <w:bCs/>
                <w:color w:val="auto"/>
                <w:sz w:val="18"/>
                <w:szCs w:val="18"/>
                <w:shd w:val="clear" w:color="auto" w:fill="FFFFFF"/>
              </w:rPr>
              <w:t>评分标准</w:t>
            </w:r>
          </w:p>
        </w:tc>
        <w:tc>
          <w:tcPr>
            <w:tcW w:w="1261" w:type="dxa"/>
            <w:vAlign w:val="center"/>
          </w:tcPr>
          <w:p>
            <w:pPr>
              <w:shd w:val="clear" w:color="auto" w:fill="FFFFFF"/>
              <w:spacing w:line="380" w:lineRule="exact"/>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64" w:type="dxa"/>
            <w:vAlign w:val="center"/>
          </w:tcPr>
          <w:p>
            <w:pPr>
              <w:shd w:val="clear" w:color="auto" w:fill="FFFFFF" w:themeFill="background1"/>
              <w:spacing w:line="380" w:lineRule="exact"/>
              <w:jc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rPr>
              <w:t>1</w:t>
            </w:r>
          </w:p>
        </w:tc>
        <w:tc>
          <w:tcPr>
            <w:tcW w:w="2015" w:type="dxa"/>
            <w:gridSpan w:val="2"/>
            <w:vAlign w:val="center"/>
          </w:tcPr>
          <w:p>
            <w:pPr>
              <w:shd w:val="clear" w:color="auto" w:fill="FFFFFF" w:themeFill="background1"/>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投标报价</w:t>
            </w:r>
          </w:p>
          <w:p>
            <w:pPr>
              <w:shd w:val="clear" w:color="auto" w:fill="FFFFFF"/>
              <w:jc w:val="center"/>
              <w:rPr>
                <w:rFonts w:hint="eastAsia" w:ascii="宋体" w:hAnsi="宋体" w:eastAsia="宋体" w:cs="宋体"/>
                <w:color w:val="auto"/>
                <w:sz w:val="18"/>
                <w:szCs w:val="18"/>
              </w:rPr>
            </w:pPr>
            <w:r>
              <w:rPr>
                <w:rFonts w:hint="eastAsia" w:ascii="宋体" w:hAnsi="宋体" w:eastAsia="宋体" w:cs="宋体"/>
                <w:color w:val="auto"/>
                <w:sz w:val="18"/>
                <w:szCs w:val="18"/>
              </w:rPr>
              <w:t>（30分）</w:t>
            </w:r>
          </w:p>
        </w:tc>
        <w:tc>
          <w:tcPr>
            <w:tcW w:w="6543" w:type="dxa"/>
            <w:vAlign w:val="center"/>
          </w:tcPr>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根据《政府采购货物和服务招标投标管理办法》（中华人民共和国财政部令第 87 号）要求，综合评分办法中的价格分统一采用低价优先法计算，即完全满足招标文件要求且投标价格最低的投标报价为评标基准价，其价格分为满分。其他投标人的价格分统一按照下列公式计算： </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投标报价得分=（评标基准价/投标报价）×30%×100 </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1）根据《政府采购促进中小企业发展管理办法》（财库[2020]46 号） 的规定，对小型和微型企业（监狱企业、残疾人福利性单位视同小微企业）产品的价格给予 6%的价格扣除，用扣除后的价格参与评标。</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2）参加政府采购活动的中小企业应当提供《中小企业声明函》原件。 </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 xml:space="preserve">3）提供由省级以上监狱管理局、戒毒管理局（含新疆生产建设兵团） 出具的属于监狱企业证明文件的，视同为小型和微型企业。     </w:t>
            </w:r>
          </w:p>
          <w:p>
            <w:pPr>
              <w:shd w:val="clear" w:color="auto" w:fill="FFFFFF"/>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4）符合享受政府采购支持政策的残疾人福利性单位条件且提供《残疾人福利性单位声明函》的，视同为小型和微型企业。</w:t>
            </w:r>
          </w:p>
        </w:tc>
        <w:tc>
          <w:tcPr>
            <w:tcW w:w="1261" w:type="dxa"/>
            <w:vAlign w:val="center"/>
          </w:tcPr>
          <w:p>
            <w:pPr>
              <w:shd w:val="clear" w:color="auto" w:fill="FFFFFF"/>
              <w:spacing w:line="3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64" w:type="dxa"/>
            <w:vMerge w:val="restart"/>
            <w:vAlign w:val="center"/>
          </w:tcPr>
          <w:p>
            <w:pPr>
              <w:shd w:val="clear" w:color="auto" w:fill="FFFFFF"/>
              <w:spacing w:line="3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852" w:type="dxa"/>
            <w:vMerge w:val="restart"/>
            <w:vAlign w:val="center"/>
          </w:tcPr>
          <w:p>
            <w:pPr>
              <w:shd w:val="clear" w:color="auto" w:fill="FFFFFF"/>
              <w:jc w:val="center"/>
              <w:rPr>
                <w:rFonts w:hint="eastAsia" w:ascii="宋体" w:hAnsi="宋体" w:eastAsia="宋体" w:cs="宋体"/>
                <w:color w:val="auto"/>
                <w:sz w:val="18"/>
                <w:szCs w:val="18"/>
              </w:rPr>
            </w:pPr>
            <w:r>
              <w:rPr>
                <w:rFonts w:hint="eastAsia" w:ascii="宋体" w:hAnsi="宋体" w:eastAsia="宋体" w:cs="宋体"/>
                <w:color w:val="auto"/>
                <w:sz w:val="18"/>
                <w:szCs w:val="18"/>
              </w:rPr>
              <w:t>商务部分（</w:t>
            </w:r>
            <w:r>
              <w:rPr>
                <w:rFonts w:hint="eastAsia" w:ascii="宋体" w:hAnsi="宋体" w:cs="宋体"/>
                <w:color w:val="auto"/>
                <w:sz w:val="18"/>
                <w:szCs w:val="18"/>
                <w:lang w:val="en-US" w:eastAsia="zh-CN"/>
              </w:rPr>
              <w:t>38</w:t>
            </w:r>
            <w:r>
              <w:rPr>
                <w:rFonts w:hint="eastAsia" w:ascii="宋体" w:hAnsi="宋体" w:eastAsia="宋体" w:cs="宋体"/>
                <w:color w:val="auto"/>
                <w:sz w:val="18"/>
                <w:szCs w:val="18"/>
              </w:rPr>
              <w:t>分）</w:t>
            </w:r>
          </w:p>
        </w:tc>
        <w:tc>
          <w:tcPr>
            <w:tcW w:w="1163" w:type="dxa"/>
            <w:vMerge w:val="restart"/>
            <w:vAlign w:val="center"/>
          </w:tcPr>
          <w:p>
            <w:pPr>
              <w:shd w:val="clear" w:color="auto" w:fill="FFFFFF"/>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投标人综合实力（</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分）</w:t>
            </w:r>
          </w:p>
        </w:tc>
        <w:tc>
          <w:tcPr>
            <w:tcW w:w="6543" w:type="dxa"/>
            <w:vAlign w:val="center"/>
          </w:tcPr>
          <w:p>
            <w:pPr>
              <w:shd w:val="clear" w:color="auto" w:fill="FFFFFF"/>
              <w:jc w:val="left"/>
              <w:textAlignment w:val="center"/>
              <w:rPr>
                <w:rFonts w:hint="eastAsia" w:ascii="宋体" w:hAnsi="宋体" w:eastAsia="宋体" w:cs="宋体"/>
                <w:b/>
                <w:color w:val="auto"/>
                <w:sz w:val="18"/>
                <w:szCs w:val="18"/>
              </w:rPr>
            </w:pPr>
            <w:r>
              <w:rPr>
                <w:rFonts w:hint="eastAsia" w:ascii="宋体" w:hAnsi="宋体" w:eastAsia="宋体" w:cs="宋体"/>
                <w:color w:val="auto"/>
                <w:sz w:val="18"/>
                <w:szCs w:val="18"/>
              </w:rPr>
              <w:t xml:space="preserve">投标人提供 2022年 1 月 1 日以来类似项目业绩，每提供一个得 </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 xml:space="preserve"> 分，最多得 6 分，不提供不得分（业绩需提供合同关键页复印加盖投标单位公章或中标通知书加盖投标单位公章）。</w:t>
            </w:r>
          </w:p>
        </w:tc>
        <w:tc>
          <w:tcPr>
            <w:tcW w:w="1261" w:type="dxa"/>
            <w:vAlign w:val="center"/>
          </w:tcPr>
          <w:p>
            <w:pPr>
              <w:shd w:val="clear" w:color="auto" w:fill="FFFFFF"/>
              <w:spacing w:line="3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64" w:type="dxa"/>
            <w:vMerge w:val="continue"/>
            <w:vAlign w:val="center"/>
          </w:tcPr>
          <w:p>
            <w:pPr>
              <w:shd w:val="clear" w:color="auto" w:fill="FFFFFF"/>
              <w:spacing w:line="380" w:lineRule="exact"/>
              <w:jc w:val="center"/>
              <w:rPr>
                <w:rFonts w:hint="eastAsia" w:ascii="宋体" w:hAnsi="宋体" w:eastAsia="宋体" w:cs="宋体"/>
                <w:color w:val="auto"/>
                <w:sz w:val="18"/>
                <w:szCs w:val="18"/>
              </w:rPr>
            </w:pPr>
          </w:p>
        </w:tc>
        <w:tc>
          <w:tcPr>
            <w:tcW w:w="852" w:type="dxa"/>
            <w:vMerge w:val="continue"/>
            <w:vAlign w:val="center"/>
          </w:tcPr>
          <w:p>
            <w:pPr>
              <w:shd w:val="clear" w:color="auto" w:fill="FFFFFF"/>
              <w:jc w:val="center"/>
              <w:rPr>
                <w:rFonts w:hint="eastAsia" w:ascii="宋体" w:hAnsi="宋体" w:eastAsia="宋体" w:cs="宋体"/>
                <w:color w:val="auto"/>
                <w:sz w:val="18"/>
                <w:szCs w:val="18"/>
              </w:rPr>
            </w:pPr>
          </w:p>
        </w:tc>
        <w:tc>
          <w:tcPr>
            <w:tcW w:w="1163" w:type="dxa"/>
            <w:vMerge w:val="continue"/>
            <w:vAlign w:val="center"/>
          </w:tcPr>
          <w:p>
            <w:pPr>
              <w:shd w:val="clear" w:color="auto" w:fill="FFFFFF"/>
              <w:jc w:val="center"/>
              <w:rPr>
                <w:rFonts w:hint="eastAsia" w:ascii="宋体" w:hAnsi="宋体" w:eastAsia="宋体" w:cs="宋体"/>
                <w:color w:val="auto"/>
                <w:sz w:val="18"/>
                <w:szCs w:val="18"/>
              </w:rPr>
            </w:pPr>
          </w:p>
        </w:tc>
        <w:tc>
          <w:tcPr>
            <w:tcW w:w="6543" w:type="dxa"/>
            <w:vAlign w:val="center"/>
          </w:tcPr>
          <w:p>
            <w:pP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1、投标人</w:t>
            </w:r>
            <w:r>
              <w:rPr>
                <w:rFonts w:hint="eastAsia" w:ascii="宋体" w:hAnsi="宋体" w:eastAsia="宋体" w:cs="宋体"/>
                <w:color w:val="auto"/>
                <w:sz w:val="18"/>
                <w:szCs w:val="18"/>
              </w:rPr>
              <w:t>拟投入本项目的项目负责人须具备“软件开发（高级）”证书，投标时须提供该人员证书复印件、身份证复印件及近半年内投标人为其连续缴纳社保的证明材料复印件，原件备查。</w:t>
            </w:r>
            <w:r>
              <w:rPr>
                <w:rFonts w:hint="eastAsia" w:ascii="宋体" w:hAnsi="宋体" w:eastAsia="宋体" w:cs="宋体"/>
                <w:color w:val="auto"/>
                <w:sz w:val="18"/>
                <w:szCs w:val="18"/>
                <w:lang w:val="en-US" w:eastAsia="zh-CN"/>
              </w:rPr>
              <w:t>提供齐全得</w:t>
            </w:r>
            <w:r>
              <w:rPr>
                <w:rFonts w:hint="eastAsia" w:ascii="宋体" w:hAnsi="宋体" w:cs="宋体"/>
                <w:color w:val="auto"/>
                <w:sz w:val="18"/>
                <w:szCs w:val="18"/>
                <w:lang w:val="en-US" w:eastAsia="zh-CN"/>
              </w:rPr>
              <w:t>5</w:t>
            </w:r>
            <w:r>
              <w:rPr>
                <w:rFonts w:hint="eastAsia" w:ascii="宋体" w:hAnsi="宋体" w:eastAsia="宋体" w:cs="宋体"/>
                <w:color w:val="auto"/>
                <w:sz w:val="18"/>
                <w:szCs w:val="18"/>
                <w:lang w:val="en-US" w:eastAsia="zh-CN"/>
              </w:rPr>
              <w:t>分，不提供或少提供不得分。</w:t>
            </w:r>
          </w:p>
          <w:p>
            <w:pP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投标人拟投入本项目的施工团队中须至少有 2 人持有 NISP 一级证书，以保障现场安装、调试及运维过程中信息安全控制措施的规范落实；投标时须分别提供该 2 人 NISP 一级证书复印件、身份证复印件及近半年内投标人为其连续缴纳社保的证明材料复印件，原件备查。提供齐全得</w:t>
            </w:r>
            <w:r>
              <w:rPr>
                <w:rFonts w:hint="eastAsia" w:ascii="宋体" w:hAnsi="宋体" w:cs="宋体"/>
                <w:color w:val="auto"/>
                <w:sz w:val="18"/>
                <w:szCs w:val="18"/>
                <w:lang w:val="en-US" w:eastAsia="zh-CN"/>
              </w:rPr>
              <w:t>6</w:t>
            </w:r>
            <w:r>
              <w:rPr>
                <w:rFonts w:hint="eastAsia" w:ascii="宋体" w:hAnsi="宋体" w:eastAsia="宋体" w:cs="宋体"/>
                <w:color w:val="auto"/>
                <w:sz w:val="18"/>
                <w:szCs w:val="18"/>
                <w:lang w:val="en-US" w:eastAsia="zh-CN"/>
              </w:rPr>
              <w:t>分，不提供或少提供不得分。</w:t>
            </w:r>
          </w:p>
          <w:p>
            <w:pPr>
              <w:pStyle w:val="3"/>
              <w:rPr>
                <w:rFonts w:hint="eastAsia"/>
              </w:rPr>
            </w:pPr>
            <w:r>
              <w:rPr>
                <w:rFonts w:hint="eastAsia" w:hAnsi="宋体" w:cs="宋体"/>
                <w:color w:val="auto"/>
                <w:sz w:val="18"/>
                <w:szCs w:val="18"/>
                <w:lang w:val="en-US" w:eastAsia="zh-CN"/>
              </w:rPr>
              <w:t>3</w:t>
            </w:r>
            <w:r>
              <w:rPr>
                <w:rFonts w:hint="eastAsia" w:ascii="宋体" w:hAnsi="宋体" w:cs="宋体"/>
                <w:color w:val="auto"/>
                <w:sz w:val="18"/>
                <w:szCs w:val="18"/>
                <w:lang w:val="en-US" w:eastAsia="zh-CN"/>
              </w:rPr>
              <w:t>、</w:t>
            </w:r>
            <w:r>
              <w:rPr>
                <w:rFonts w:hint="eastAsia" w:ascii="宋体" w:hAnsi="宋体" w:eastAsia="宋体" w:cs="宋体"/>
                <w:color w:val="auto"/>
                <w:sz w:val="18"/>
                <w:szCs w:val="18"/>
                <w:lang w:val="en-US" w:eastAsia="zh-CN"/>
              </w:rPr>
              <w:t>投标人拟投入本项目的团队</w:t>
            </w:r>
            <w:r>
              <w:rPr>
                <w:rFonts w:hint="eastAsia" w:hAnsi="宋体" w:cs="宋体"/>
                <w:color w:val="auto"/>
                <w:sz w:val="18"/>
                <w:szCs w:val="18"/>
                <w:lang w:val="en-US" w:eastAsia="zh-CN"/>
              </w:rPr>
              <w:t>成员</w:t>
            </w:r>
            <w:r>
              <w:rPr>
                <w:rFonts w:hint="eastAsia" w:ascii="宋体" w:hAnsi="宋体" w:eastAsia="宋体" w:cs="宋体"/>
                <w:color w:val="auto"/>
                <w:sz w:val="18"/>
                <w:szCs w:val="18"/>
                <w:lang w:val="en-US" w:eastAsia="zh-CN"/>
              </w:rPr>
              <w:t xml:space="preserve">须至少有 </w:t>
            </w:r>
            <w:r>
              <w:rPr>
                <w:rFonts w:hint="eastAsia" w:hAnsi="宋体" w:cs="宋体"/>
                <w:color w:val="auto"/>
                <w:sz w:val="18"/>
                <w:szCs w:val="18"/>
                <w:lang w:val="en-US" w:eastAsia="zh-CN"/>
              </w:rPr>
              <w:t>1</w:t>
            </w:r>
            <w:r>
              <w:rPr>
                <w:rFonts w:hint="eastAsia" w:ascii="宋体" w:hAnsi="宋体" w:eastAsia="宋体" w:cs="宋体"/>
                <w:color w:val="auto"/>
                <w:sz w:val="18"/>
                <w:szCs w:val="18"/>
                <w:lang w:val="en-US" w:eastAsia="zh-CN"/>
              </w:rPr>
              <w:t xml:space="preserve"> 人持有 </w:t>
            </w:r>
            <w:r>
              <w:rPr>
                <w:rFonts w:hint="eastAsia" w:hAnsi="宋体" w:cs="宋体"/>
                <w:color w:val="auto"/>
                <w:sz w:val="18"/>
                <w:szCs w:val="18"/>
                <w:lang w:val="en-US" w:eastAsia="zh-CN"/>
              </w:rPr>
              <w:t>CISP(国家注册信息安全工程师）</w:t>
            </w:r>
            <w:r>
              <w:rPr>
                <w:rFonts w:hint="eastAsia" w:ascii="宋体" w:hAnsi="宋体" w:eastAsia="宋体" w:cs="宋体"/>
                <w:color w:val="auto"/>
                <w:sz w:val="18"/>
                <w:szCs w:val="18"/>
                <w:lang w:val="en-US" w:eastAsia="zh-CN"/>
              </w:rPr>
              <w:t>证书</w:t>
            </w:r>
            <w:r>
              <w:rPr>
                <w:rFonts w:hint="eastAsia" w:hAnsi="宋体" w:cs="宋体"/>
                <w:color w:val="auto"/>
                <w:sz w:val="18"/>
                <w:szCs w:val="18"/>
                <w:lang w:val="en-US" w:eastAsia="zh-CN"/>
              </w:rPr>
              <w:t>；</w:t>
            </w:r>
            <w:r>
              <w:rPr>
                <w:rFonts w:hint="eastAsia" w:ascii="宋体" w:hAnsi="宋体" w:eastAsia="宋体" w:cs="宋体"/>
                <w:color w:val="auto"/>
                <w:sz w:val="18"/>
                <w:szCs w:val="18"/>
                <w:lang w:val="en-US" w:eastAsia="zh-CN"/>
              </w:rPr>
              <w:t xml:space="preserve">投标时须分别提供该人 </w:t>
            </w:r>
            <w:r>
              <w:rPr>
                <w:rFonts w:hint="eastAsia" w:hAnsi="宋体" w:cs="宋体"/>
                <w:color w:val="auto"/>
                <w:sz w:val="18"/>
                <w:szCs w:val="18"/>
                <w:lang w:val="en-US" w:eastAsia="zh-CN"/>
              </w:rPr>
              <w:t>C</w:t>
            </w:r>
            <w:r>
              <w:rPr>
                <w:rFonts w:hint="eastAsia" w:ascii="宋体" w:hAnsi="宋体" w:eastAsia="宋体" w:cs="宋体"/>
                <w:color w:val="auto"/>
                <w:sz w:val="18"/>
                <w:szCs w:val="18"/>
                <w:lang w:val="en-US" w:eastAsia="zh-CN"/>
              </w:rPr>
              <w:t>ISP 证书复印件、身份证复印件及近半年内投标人为其连续缴纳社保的证明材料复印件，原件备查。提供齐全得</w:t>
            </w:r>
            <w:r>
              <w:rPr>
                <w:rFonts w:hint="eastAsia" w:hAnsi="宋体" w:cs="宋体"/>
                <w:color w:val="auto"/>
                <w:sz w:val="18"/>
                <w:szCs w:val="18"/>
                <w:lang w:val="en-US" w:eastAsia="zh-CN"/>
              </w:rPr>
              <w:t>5</w:t>
            </w:r>
            <w:r>
              <w:rPr>
                <w:rFonts w:hint="eastAsia" w:ascii="宋体" w:hAnsi="宋体" w:eastAsia="宋体" w:cs="宋体"/>
                <w:color w:val="auto"/>
                <w:sz w:val="18"/>
                <w:szCs w:val="18"/>
                <w:lang w:val="en-US" w:eastAsia="zh-CN"/>
              </w:rPr>
              <w:t>分，不提供或少提供不得分。</w:t>
            </w:r>
          </w:p>
        </w:tc>
        <w:tc>
          <w:tcPr>
            <w:tcW w:w="1261" w:type="dxa"/>
            <w:vAlign w:val="center"/>
          </w:tcPr>
          <w:p>
            <w:pPr>
              <w:shd w:val="clear" w:color="auto" w:fill="FFFFFF"/>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16</w:t>
            </w:r>
            <w:r>
              <w:rPr>
                <w:rFonts w:hint="eastAsia" w:ascii="宋体" w:hAnsi="宋体" w:eastAsia="宋体" w:cs="宋体"/>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64" w:type="dxa"/>
            <w:vMerge w:val="continue"/>
            <w:vAlign w:val="center"/>
          </w:tcPr>
          <w:p>
            <w:pPr>
              <w:shd w:val="clear" w:color="auto" w:fill="FFFFFF"/>
              <w:spacing w:line="380" w:lineRule="exact"/>
              <w:jc w:val="center"/>
              <w:rPr>
                <w:rFonts w:hint="eastAsia" w:ascii="宋体" w:hAnsi="宋体" w:eastAsia="宋体" w:cs="宋体"/>
                <w:color w:val="auto"/>
                <w:sz w:val="18"/>
                <w:szCs w:val="18"/>
              </w:rPr>
            </w:pPr>
          </w:p>
        </w:tc>
        <w:tc>
          <w:tcPr>
            <w:tcW w:w="852" w:type="dxa"/>
            <w:vMerge w:val="continue"/>
            <w:vAlign w:val="center"/>
          </w:tcPr>
          <w:p>
            <w:pPr>
              <w:shd w:val="clear" w:color="auto" w:fill="FFFFFF"/>
              <w:jc w:val="center"/>
              <w:rPr>
                <w:rFonts w:hint="eastAsia" w:ascii="宋体" w:hAnsi="宋体" w:eastAsia="宋体" w:cs="宋体"/>
                <w:color w:val="auto"/>
                <w:sz w:val="18"/>
                <w:szCs w:val="18"/>
              </w:rPr>
            </w:pPr>
          </w:p>
        </w:tc>
        <w:tc>
          <w:tcPr>
            <w:tcW w:w="1163" w:type="dxa"/>
            <w:vMerge w:val="restart"/>
            <w:vAlign w:val="center"/>
          </w:tcPr>
          <w:p>
            <w:pPr>
              <w:shd w:val="clear" w:color="auto" w:fill="FFFFFF"/>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投标产品厂家综合实力（</w:t>
            </w:r>
            <w:r>
              <w:rPr>
                <w:rFonts w:hint="eastAsia" w:ascii="宋体" w:hAnsi="宋体" w:cs="宋体"/>
                <w:color w:val="auto"/>
                <w:sz w:val="18"/>
                <w:szCs w:val="18"/>
                <w:lang w:val="en-US" w:eastAsia="zh-CN"/>
              </w:rPr>
              <w:t>16</w:t>
            </w:r>
            <w:r>
              <w:rPr>
                <w:rFonts w:hint="eastAsia" w:ascii="宋体" w:hAnsi="宋体" w:eastAsia="宋体" w:cs="宋体"/>
                <w:color w:val="auto"/>
                <w:sz w:val="18"/>
                <w:szCs w:val="18"/>
              </w:rPr>
              <w:t>分）</w:t>
            </w:r>
          </w:p>
        </w:tc>
        <w:tc>
          <w:tcPr>
            <w:tcW w:w="6543" w:type="dxa"/>
            <w:vAlign w:val="center"/>
          </w:tcPr>
          <w:p>
            <w:pPr>
              <w:pStyle w:val="14"/>
              <w:spacing w:before="1" w:line="304" w:lineRule="auto"/>
              <w:ind w:right="99"/>
              <w:jc w:val="both"/>
              <w:rPr>
                <w:rFonts w:hint="eastAsia" w:ascii="宋体" w:hAnsi="宋体" w:eastAsia="宋体" w:cs="宋体"/>
                <w:color w:val="auto"/>
                <w:sz w:val="18"/>
                <w:szCs w:val="18"/>
              </w:rPr>
            </w:pPr>
            <w:r>
              <w:rPr>
                <w:rFonts w:hint="eastAsia" w:ascii="宋体" w:hAnsi="宋体" w:eastAsia="宋体" w:cs="宋体"/>
                <w:color w:val="auto"/>
                <w:sz w:val="18"/>
                <w:szCs w:val="18"/>
              </w:rPr>
              <w:t>投标人或生产厂商提供产品质量保险、产品责任保险、公众责任保险、雇主责任保险四险齐全得</w:t>
            </w:r>
            <w:r>
              <w:rPr>
                <w:rFonts w:hint="eastAsia" w:cs="宋体"/>
                <w:color w:val="auto"/>
                <w:sz w:val="18"/>
                <w:szCs w:val="18"/>
                <w:lang w:val="en-US" w:eastAsia="zh-CN"/>
              </w:rPr>
              <w:t>10</w:t>
            </w:r>
            <w:r>
              <w:rPr>
                <w:rFonts w:hint="eastAsia" w:ascii="宋体" w:hAnsi="宋体" w:eastAsia="宋体" w:cs="宋体"/>
                <w:color w:val="auto"/>
                <w:sz w:val="18"/>
                <w:szCs w:val="18"/>
              </w:rPr>
              <w:t>分；不提供不得分（提供相关证明材料加盖鲜章）</w:t>
            </w:r>
          </w:p>
        </w:tc>
        <w:tc>
          <w:tcPr>
            <w:tcW w:w="1261" w:type="dxa"/>
            <w:vAlign w:val="center"/>
          </w:tcPr>
          <w:p>
            <w:pPr>
              <w:shd w:val="clear" w:color="auto" w:fill="FFFFFF"/>
              <w:jc w:val="center"/>
              <w:textAlignment w:val="center"/>
              <w:rPr>
                <w:rFonts w:hint="eastAsia" w:ascii="宋体" w:hAnsi="宋体" w:eastAsia="宋体" w:cs="宋体"/>
                <w:color w:val="auto"/>
                <w:kern w:val="0"/>
                <w:sz w:val="18"/>
                <w:szCs w:val="18"/>
              </w:rPr>
            </w:pPr>
            <w:r>
              <w:rPr>
                <w:rFonts w:hint="eastAsia" w:ascii="宋体" w:hAnsi="宋体" w:cs="宋体"/>
                <w:color w:val="auto"/>
                <w:kern w:val="0"/>
                <w:sz w:val="18"/>
                <w:szCs w:val="18"/>
                <w:lang w:val="en-US" w:eastAsia="zh-CN"/>
              </w:rPr>
              <w:t>10</w:t>
            </w:r>
            <w:r>
              <w:rPr>
                <w:rFonts w:hint="eastAsia" w:ascii="宋体" w:hAnsi="宋体" w:eastAsia="宋体" w:cs="宋体"/>
                <w:color w:val="auto"/>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64" w:type="dxa"/>
            <w:vMerge w:val="continue"/>
            <w:vAlign w:val="center"/>
          </w:tcPr>
          <w:p>
            <w:pPr>
              <w:shd w:val="clear" w:color="auto" w:fill="FFFFFF"/>
              <w:spacing w:line="380" w:lineRule="exact"/>
              <w:jc w:val="center"/>
              <w:rPr>
                <w:rFonts w:hint="eastAsia" w:ascii="宋体" w:hAnsi="宋体" w:eastAsia="宋体" w:cs="宋体"/>
                <w:color w:val="auto"/>
                <w:sz w:val="18"/>
                <w:szCs w:val="18"/>
              </w:rPr>
            </w:pPr>
          </w:p>
        </w:tc>
        <w:tc>
          <w:tcPr>
            <w:tcW w:w="852" w:type="dxa"/>
            <w:vMerge w:val="continue"/>
            <w:vAlign w:val="center"/>
          </w:tcPr>
          <w:p>
            <w:pPr>
              <w:shd w:val="clear" w:color="auto" w:fill="FFFFFF"/>
              <w:jc w:val="center"/>
              <w:rPr>
                <w:rFonts w:hint="eastAsia" w:ascii="宋体" w:hAnsi="宋体" w:eastAsia="宋体" w:cs="宋体"/>
                <w:color w:val="auto"/>
                <w:sz w:val="18"/>
                <w:szCs w:val="18"/>
              </w:rPr>
            </w:pPr>
          </w:p>
        </w:tc>
        <w:tc>
          <w:tcPr>
            <w:tcW w:w="1163" w:type="dxa"/>
            <w:vMerge w:val="continue"/>
            <w:vAlign w:val="center"/>
          </w:tcPr>
          <w:p>
            <w:pPr>
              <w:shd w:val="clear" w:color="auto" w:fill="FFFFFF"/>
              <w:jc w:val="center"/>
              <w:rPr>
                <w:rFonts w:hint="eastAsia" w:ascii="宋体" w:hAnsi="宋体" w:eastAsia="宋体" w:cs="宋体"/>
                <w:color w:val="auto"/>
                <w:sz w:val="18"/>
                <w:szCs w:val="18"/>
              </w:rPr>
            </w:pPr>
          </w:p>
        </w:tc>
        <w:tc>
          <w:tcPr>
            <w:tcW w:w="6543" w:type="dxa"/>
            <w:vAlign w:val="center"/>
          </w:tcPr>
          <w:p>
            <w:pPr>
              <w:shd w:val="clear" w:color="auto" w:fill="FFFFFF"/>
              <w:jc w:val="left"/>
              <w:textAlignment w:val="center"/>
              <w:rPr>
                <w:rFonts w:hint="default" w:ascii="宋体" w:hAnsi="宋体" w:eastAsia="宋体" w:cs="宋体"/>
                <w:b/>
                <w:bCs/>
                <w:color w:val="auto"/>
                <w:sz w:val="18"/>
                <w:szCs w:val="18"/>
                <w:lang w:val="en-US" w:eastAsia="zh-CN"/>
              </w:rPr>
            </w:pPr>
            <w:r>
              <w:rPr>
                <w:rFonts w:hint="eastAsia" w:ascii="宋体" w:hAnsi="宋体" w:eastAsia="宋体" w:cs="宋体"/>
                <w:color w:val="auto"/>
                <w:spacing w:val="-3"/>
                <w:sz w:val="18"/>
                <w:szCs w:val="18"/>
              </w:rPr>
              <w:t>投标人</w:t>
            </w:r>
            <w:r>
              <w:rPr>
                <w:rFonts w:hint="eastAsia" w:ascii="宋体" w:hAnsi="宋体" w:cs="宋体"/>
                <w:color w:val="auto"/>
                <w:spacing w:val="-3"/>
                <w:sz w:val="18"/>
                <w:szCs w:val="18"/>
                <w:lang w:val="en-US" w:eastAsia="zh-CN"/>
              </w:rPr>
              <w:t>提供时间服务器、时间同步电子钟、交换机等设备的检测报告，每</w:t>
            </w:r>
            <w:r>
              <w:rPr>
                <w:rFonts w:hint="eastAsia" w:ascii="宋体" w:hAnsi="宋体" w:eastAsia="宋体" w:cs="宋体"/>
                <w:color w:val="auto"/>
                <w:sz w:val="18"/>
                <w:szCs w:val="18"/>
                <w:lang w:val="en-US" w:eastAsia="zh-CN"/>
              </w:rPr>
              <w:t>提供1份得2分，最多得6分。</w:t>
            </w:r>
          </w:p>
        </w:tc>
        <w:tc>
          <w:tcPr>
            <w:tcW w:w="1261" w:type="dxa"/>
            <w:vAlign w:val="center"/>
          </w:tcPr>
          <w:p>
            <w:pPr>
              <w:shd w:val="clear" w:color="auto" w:fill="FFFFFF"/>
              <w:jc w:val="center"/>
              <w:textAlignment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6</w:t>
            </w:r>
            <w:r>
              <w:rPr>
                <w:rFonts w:hint="eastAsia" w:ascii="宋体" w:hAnsi="宋体" w:eastAsia="宋体" w:cs="宋体"/>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4" w:type="dxa"/>
            <w:vMerge w:val="restart"/>
            <w:vAlign w:val="center"/>
          </w:tcPr>
          <w:p>
            <w:pPr>
              <w:shd w:val="clear" w:color="auto" w:fill="FFFFFF"/>
              <w:spacing w:line="3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852" w:type="dxa"/>
            <w:vMerge w:val="restart"/>
            <w:vAlign w:val="center"/>
          </w:tcPr>
          <w:p>
            <w:pPr>
              <w:shd w:val="clear" w:color="auto" w:fill="FFFFFF"/>
              <w:jc w:val="center"/>
              <w:rPr>
                <w:rFonts w:hint="eastAsia" w:ascii="宋体" w:hAnsi="宋体" w:eastAsia="宋体" w:cs="宋体"/>
                <w:color w:val="auto"/>
                <w:sz w:val="18"/>
                <w:szCs w:val="18"/>
              </w:rPr>
            </w:pPr>
            <w:r>
              <w:rPr>
                <w:rFonts w:hint="eastAsia" w:ascii="宋体" w:hAnsi="宋体" w:eastAsia="宋体" w:cs="宋体"/>
                <w:color w:val="auto"/>
                <w:sz w:val="18"/>
                <w:szCs w:val="18"/>
              </w:rPr>
              <w:t>技术部分（</w:t>
            </w:r>
            <w:r>
              <w:rPr>
                <w:rFonts w:hint="eastAsia" w:ascii="宋体" w:hAnsi="宋体" w:cs="宋体"/>
                <w:color w:val="auto"/>
                <w:sz w:val="18"/>
                <w:szCs w:val="18"/>
                <w:lang w:val="en-US" w:eastAsia="zh-CN"/>
              </w:rPr>
              <w:t>32</w:t>
            </w:r>
            <w:r>
              <w:rPr>
                <w:rFonts w:hint="eastAsia" w:ascii="宋体" w:hAnsi="宋体" w:eastAsia="宋体" w:cs="宋体"/>
                <w:color w:val="auto"/>
                <w:sz w:val="18"/>
                <w:szCs w:val="18"/>
              </w:rPr>
              <w:t>分）</w:t>
            </w:r>
          </w:p>
        </w:tc>
        <w:tc>
          <w:tcPr>
            <w:tcW w:w="1163" w:type="dxa"/>
            <w:vAlign w:val="center"/>
          </w:tcPr>
          <w:p>
            <w:pPr>
              <w:pStyle w:val="5"/>
              <w:shd w:val="clear" w:color="auto" w:fill="FFFFFF"/>
              <w:rPr>
                <w:rFonts w:hint="eastAsia" w:ascii="宋体" w:hAnsi="宋体" w:eastAsia="宋体" w:cs="宋体"/>
                <w:color w:val="auto"/>
                <w:sz w:val="18"/>
                <w:szCs w:val="18"/>
              </w:rPr>
            </w:pPr>
            <w:r>
              <w:rPr>
                <w:rFonts w:hint="eastAsia" w:ascii="宋体" w:hAnsi="宋体" w:eastAsia="宋体" w:cs="宋体"/>
                <w:color w:val="auto"/>
                <w:kern w:val="0"/>
                <w:sz w:val="18"/>
                <w:szCs w:val="18"/>
              </w:rPr>
              <w:t>投标产品的技术要求（</w:t>
            </w:r>
            <w:r>
              <w:rPr>
                <w:rFonts w:hint="eastAsia" w:cs="宋体"/>
                <w:color w:val="auto"/>
                <w:kern w:val="0"/>
                <w:sz w:val="18"/>
                <w:szCs w:val="18"/>
                <w:lang w:val="en-US" w:eastAsia="zh-CN"/>
              </w:rPr>
              <w:t>18</w:t>
            </w:r>
            <w:r>
              <w:rPr>
                <w:rFonts w:hint="eastAsia" w:ascii="宋体" w:hAnsi="宋体" w:eastAsia="宋体" w:cs="宋体"/>
                <w:color w:val="auto"/>
                <w:kern w:val="0"/>
                <w:sz w:val="18"/>
                <w:szCs w:val="18"/>
              </w:rPr>
              <w:t>分）</w:t>
            </w:r>
          </w:p>
        </w:tc>
        <w:tc>
          <w:tcPr>
            <w:tcW w:w="6543" w:type="dxa"/>
            <w:vAlign w:val="center"/>
          </w:tcPr>
          <w:p>
            <w:pPr>
              <w:pStyle w:val="5"/>
              <w:shd w:val="clear" w:color="auto" w:fill="FFFFFF"/>
              <w:rPr>
                <w:rFonts w:hint="eastAsia" w:ascii="宋体" w:hAnsi="宋体" w:eastAsia="宋体" w:cs="宋体"/>
                <w:color w:val="auto"/>
                <w:kern w:val="0"/>
                <w:sz w:val="18"/>
                <w:szCs w:val="18"/>
              </w:rPr>
            </w:pPr>
            <w:r>
              <w:rPr>
                <w:rFonts w:hint="eastAsia" w:ascii="宋体" w:hAnsi="宋体" w:eastAsia="宋体" w:cs="宋体"/>
                <w:color w:val="auto"/>
                <w:sz w:val="18"/>
                <w:szCs w:val="18"/>
              </w:rPr>
              <w:t>根据供应商投标的技术响应情况进行评分。供应商的投标全部响应</w:t>
            </w:r>
            <w:r>
              <w:rPr>
                <w:rFonts w:hint="eastAsia" w:cs="宋体"/>
                <w:color w:val="auto"/>
                <w:sz w:val="18"/>
                <w:szCs w:val="18"/>
                <w:lang w:val="en-US" w:eastAsia="zh-CN"/>
              </w:rPr>
              <w:t>招标</w:t>
            </w:r>
            <w:r>
              <w:rPr>
                <w:rFonts w:hint="eastAsia" w:ascii="宋体" w:hAnsi="宋体" w:eastAsia="宋体" w:cs="宋体"/>
                <w:color w:val="auto"/>
                <w:sz w:val="18"/>
                <w:szCs w:val="18"/>
              </w:rPr>
              <w:t>文件技术要求及主要配置需求的得</w:t>
            </w:r>
            <w:r>
              <w:rPr>
                <w:rFonts w:hint="eastAsia" w:cs="宋体"/>
                <w:color w:val="auto"/>
                <w:sz w:val="18"/>
                <w:szCs w:val="18"/>
                <w:lang w:val="en-US" w:eastAsia="zh-CN"/>
              </w:rPr>
              <w:t>18</w:t>
            </w:r>
            <w:r>
              <w:rPr>
                <w:rFonts w:hint="eastAsia" w:ascii="宋体" w:hAnsi="宋体" w:eastAsia="宋体" w:cs="宋体"/>
                <w:color w:val="auto"/>
                <w:sz w:val="18"/>
                <w:szCs w:val="18"/>
              </w:rPr>
              <w:t>分</w:t>
            </w:r>
            <w:r>
              <w:rPr>
                <w:rFonts w:hint="eastAsia" w:cs="宋体"/>
                <w:color w:val="auto"/>
                <w:sz w:val="18"/>
                <w:szCs w:val="18"/>
                <w:lang w:eastAsia="zh-CN"/>
              </w:rPr>
              <w:t>。</w:t>
            </w:r>
            <w:r>
              <w:rPr>
                <w:rFonts w:hint="eastAsia" w:cs="宋体"/>
                <w:color w:val="auto"/>
                <w:sz w:val="18"/>
                <w:szCs w:val="18"/>
                <w:lang w:val="en-US" w:eastAsia="zh-CN"/>
              </w:rPr>
              <w:t>其中打★项每</w:t>
            </w:r>
            <w:r>
              <w:rPr>
                <w:rFonts w:hint="eastAsia" w:ascii="宋体" w:hAnsi="宋体" w:eastAsia="宋体" w:cs="宋体"/>
                <w:color w:val="auto"/>
                <w:sz w:val="18"/>
                <w:szCs w:val="18"/>
              </w:rPr>
              <w:t>有一项负偏离的扣</w:t>
            </w:r>
            <w:r>
              <w:rPr>
                <w:rFonts w:hint="eastAsia" w:cs="宋体"/>
                <w:color w:val="auto"/>
                <w:sz w:val="18"/>
                <w:szCs w:val="18"/>
                <w:lang w:val="en-US" w:eastAsia="zh-CN"/>
              </w:rPr>
              <w:t>2</w:t>
            </w:r>
            <w:r>
              <w:rPr>
                <w:rFonts w:hint="eastAsia" w:ascii="宋体" w:hAnsi="宋体" w:eastAsia="宋体" w:cs="宋体"/>
                <w:color w:val="auto"/>
                <w:sz w:val="18"/>
                <w:szCs w:val="18"/>
              </w:rPr>
              <w:t>分，</w:t>
            </w:r>
            <w:r>
              <w:rPr>
                <w:rFonts w:hint="eastAsia" w:cs="宋体"/>
                <w:color w:val="auto"/>
                <w:sz w:val="18"/>
                <w:szCs w:val="18"/>
                <w:lang w:val="en-US" w:eastAsia="zh-CN"/>
              </w:rPr>
              <w:t>未打★项每</w:t>
            </w:r>
            <w:r>
              <w:rPr>
                <w:rFonts w:hint="eastAsia" w:ascii="宋体" w:hAnsi="宋体" w:eastAsia="宋体" w:cs="宋体"/>
                <w:color w:val="auto"/>
                <w:sz w:val="18"/>
                <w:szCs w:val="18"/>
              </w:rPr>
              <w:t>有一项负偏离的扣</w:t>
            </w:r>
            <w:r>
              <w:rPr>
                <w:rFonts w:hint="eastAsia" w:cs="宋体"/>
                <w:color w:val="auto"/>
                <w:sz w:val="18"/>
                <w:szCs w:val="18"/>
                <w:lang w:val="en-US" w:eastAsia="zh-CN"/>
              </w:rPr>
              <w:t>1</w:t>
            </w:r>
            <w:r>
              <w:rPr>
                <w:rFonts w:hint="eastAsia" w:ascii="宋体" w:hAnsi="宋体" w:eastAsia="宋体" w:cs="宋体"/>
                <w:color w:val="auto"/>
                <w:sz w:val="18"/>
                <w:szCs w:val="18"/>
              </w:rPr>
              <w:t>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扣完为止</w:t>
            </w:r>
            <w:r>
              <w:rPr>
                <w:rFonts w:hint="eastAsia" w:cs="宋体"/>
                <w:color w:val="auto"/>
                <w:sz w:val="18"/>
                <w:szCs w:val="18"/>
                <w:lang w:val="en-US" w:eastAsia="zh-CN"/>
              </w:rPr>
              <w:t>。</w:t>
            </w:r>
            <w:r>
              <w:rPr>
                <w:rFonts w:hint="eastAsia" w:ascii="宋体" w:hAnsi="宋体" w:eastAsia="宋体" w:cs="宋体"/>
                <w:color w:val="auto"/>
                <w:sz w:val="18"/>
                <w:szCs w:val="18"/>
              </w:rPr>
              <w:t>如发现</w:t>
            </w:r>
            <w:r>
              <w:rPr>
                <w:rFonts w:hint="eastAsia" w:ascii="宋体" w:hAnsi="宋体" w:eastAsia="宋体" w:cs="宋体"/>
                <w:color w:val="auto"/>
                <w:sz w:val="18"/>
                <w:szCs w:val="18"/>
                <w:lang w:val="en-US" w:eastAsia="zh-CN"/>
              </w:rPr>
              <w:t>供应商</w:t>
            </w:r>
            <w:r>
              <w:rPr>
                <w:rFonts w:hint="eastAsia" w:ascii="宋体" w:hAnsi="宋体" w:eastAsia="宋体" w:cs="宋体"/>
                <w:color w:val="auto"/>
                <w:sz w:val="18"/>
                <w:szCs w:val="18"/>
              </w:rPr>
              <w:t>虚假</w:t>
            </w:r>
            <w:r>
              <w:rPr>
                <w:rFonts w:hint="eastAsia" w:cs="宋体"/>
                <w:color w:val="auto"/>
                <w:sz w:val="18"/>
                <w:szCs w:val="18"/>
                <w:lang w:val="en-US" w:eastAsia="zh-CN"/>
              </w:rPr>
              <w:t>响应</w:t>
            </w:r>
            <w:r>
              <w:rPr>
                <w:rFonts w:hint="eastAsia" w:ascii="宋体" w:hAnsi="宋体" w:eastAsia="宋体" w:cs="宋体"/>
                <w:color w:val="auto"/>
                <w:sz w:val="18"/>
                <w:szCs w:val="18"/>
              </w:rPr>
              <w:t>技术响应表</w:t>
            </w:r>
            <w:r>
              <w:rPr>
                <w:rFonts w:hint="eastAsia" w:cs="宋体"/>
                <w:color w:val="auto"/>
                <w:sz w:val="18"/>
                <w:szCs w:val="18"/>
                <w:lang w:val="en-US" w:eastAsia="zh-CN"/>
              </w:rPr>
              <w:t>的，</w:t>
            </w:r>
            <w:r>
              <w:rPr>
                <w:rFonts w:hint="eastAsia" w:ascii="宋体" w:hAnsi="宋体" w:eastAsia="宋体" w:cs="宋体"/>
                <w:color w:val="auto"/>
                <w:sz w:val="18"/>
                <w:szCs w:val="18"/>
              </w:rPr>
              <w:t>按无效投标处理。</w:t>
            </w:r>
          </w:p>
        </w:tc>
        <w:tc>
          <w:tcPr>
            <w:tcW w:w="1261" w:type="dxa"/>
            <w:vAlign w:val="center"/>
          </w:tcPr>
          <w:p>
            <w:pPr>
              <w:shd w:val="clear" w:color="auto" w:fill="FFFFFF"/>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18</w:t>
            </w:r>
            <w:r>
              <w:rPr>
                <w:rFonts w:hint="eastAsia" w:ascii="宋体" w:hAnsi="宋体" w:eastAsia="宋体" w:cs="宋体"/>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64" w:type="dxa"/>
            <w:vMerge w:val="continue"/>
            <w:vAlign w:val="center"/>
          </w:tcPr>
          <w:p>
            <w:pPr>
              <w:shd w:val="clear" w:color="auto" w:fill="FFFFFF"/>
              <w:spacing w:line="380" w:lineRule="exact"/>
              <w:jc w:val="center"/>
              <w:rPr>
                <w:rFonts w:hint="eastAsia" w:ascii="宋体" w:hAnsi="宋体" w:eastAsia="宋体" w:cs="宋体"/>
                <w:color w:val="auto"/>
                <w:sz w:val="18"/>
                <w:szCs w:val="18"/>
              </w:rPr>
            </w:pPr>
          </w:p>
        </w:tc>
        <w:tc>
          <w:tcPr>
            <w:tcW w:w="852" w:type="dxa"/>
            <w:vMerge w:val="continue"/>
            <w:vAlign w:val="center"/>
          </w:tcPr>
          <w:p>
            <w:pPr>
              <w:shd w:val="clear" w:color="auto" w:fill="FFFFFF"/>
              <w:jc w:val="center"/>
              <w:rPr>
                <w:rFonts w:hint="eastAsia" w:ascii="宋体" w:hAnsi="宋体" w:eastAsia="宋体" w:cs="宋体"/>
                <w:color w:val="auto"/>
                <w:sz w:val="18"/>
                <w:szCs w:val="18"/>
              </w:rPr>
            </w:pPr>
          </w:p>
        </w:tc>
        <w:tc>
          <w:tcPr>
            <w:tcW w:w="1163" w:type="dxa"/>
            <w:vAlign w:val="center"/>
          </w:tcPr>
          <w:p>
            <w:pPr>
              <w:shd w:val="clear" w:color="auto" w:fill="FFFFFF"/>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w:t>
            </w:r>
            <w:r>
              <w:rPr>
                <w:rFonts w:hint="eastAsia" w:ascii="宋体" w:hAnsi="宋体" w:cs="宋体"/>
                <w:color w:val="auto"/>
                <w:sz w:val="18"/>
                <w:szCs w:val="18"/>
                <w:lang w:val="en-US" w:eastAsia="zh-CN"/>
              </w:rPr>
              <w:t>供货</w:t>
            </w:r>
            <w:r>
              <w:rPr>
                <w:rFonts w:hint="eastAsia" w:ascii="宋体" w:hAnsi="宋体" w:eastAsia="宋体" w:cs="宋体"/>
                <w:color w:val="auto"/>
                <w:sz w:val="18"/>
                <w:szCs w:val="18"/>
              </w:rPr>
              <w:t>实施方案（</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w:t>
            </w:r>
          </w:p>
        </w:tc>
        <w:tc>
          <w:tcPr>
            <w:tcW w:w="6543" w:type="dxa"/>
          </w:tcPr>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供应商需针对本项目采购需求，提供详细的供货计划及实施方案：根据各供应商提供的项目实施方案及供货计划（包括但不限于①项目供货方案②供货进度计划③项目实施进度安排④运输到货安装⑤质量保证措施⑥运输方案。</w:t>
            </w:r>
          </w:p>
          <w:p>
            <w:pPr>
              <w:shd w:val="clear" w:color="auto" w:fill="FFFFFF"/>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以上各项措施齐全完全满足需求得</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分，未提供不得分；每缺少1项或其完全无法满足项目需求的扣</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分，每有1项中内容存在缺陷或不足扣</w:t>
            </w:r>
            <w:r>
              <w:rPr>
                <w:rFonts w:hint="eastAsia" w:ascii="宋体" w:hAnsi="宋体" w:eastAsia="宋体" w:cs="宋体"/>
                <w:color w:val="auto"/>
                <w:sz w:val="18"/>
                <w:szCs w:val="18"/>
                <w:lang w:val="en-US" w:eastAsia="zh-CN"/>
              </w:rPr>
              <w:t>0.5</w:t>
            </w:r>
            <w:r>
              <w:rPr>
                <w:rFonts w:hint="eastAsia" w:ascii="宋体" w:hAnsi="宋体" w:eastAsia="宋体" w:cs="宋体"/>
                <w:color w:val="auto"/>
                <w:sz w:val="18"/>
                <w:szCs w:val="18"/>
              </w:rPr>
              <w:t>分</w:t>
            </w:r>
            <w:r>
              <w:rPr>
                <w:rFonts w:hint="eastAsia" w:ascii="宋体" w:hAnsi="宋体" w:eastAsia="宋体" w:cs="宋体"/>
                <w:color w:val="auto"/>
                <w:sz w:val="18"/>
                <w:szCs w:val="18"/>
                <w:lang w:eastAsia="zh-CN"/>
              </w:rPr>
              <w:t>。</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注:1.内容存在缺陷或不足是指内容有不满足项目要求或与项目无关的或与项目不匹配之处或项目内容、实施时间地点、涉及的规范、服务标准要求与本项目有不一致之处的情形；2.内容存在部分瑕疵是指内容完整，但存在部分不符合项目实际或细节错误之处。）</w:t>
            </w:r>
          </w:p>
        </w:tc>
        <w:tc>
          <w:tcPr>
            <w:tcW w:w="1261" w:type="dxa"/>
            <w:vAlign w:val="center"/>
          </w:tcPr>
          <w:p>
            <w:pPr>
              <w:shd w:val="clear" w:color="auto" w:fill="FFFFFF"/>
              <w:spacing w:line="3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64" w:type="dxa"/>
            <w:vMerge w:val="continue"/>
            <w:vAlign w:val="center"/>
          </w:tcPr>
          <w:p>
            <w:pPr>
              <w:shd w:val="clear" w:color="auto" w:fill="FFFFFF"/>
              <w:spacing w:line="380" w:lineRule="exact"/>
              <w:jc w:val="center"/>
              <w:rPr>
                <w:rFonts w:hint="eastAsia" w:ascii="宋体" w:hAnsi="宋体" w:eastAsia="宋体" w:cs="宋体"/>
                <w:color w:val="auto"/>
                <w:sz w:val="18"/>
                <w:szCs w:val="18"/>
              </w:rPr>
            </w:pPr>
          </w:p>
        </w:tc>
        <w:tc>
          <w:tcPr>
            <w:tcW w:w="852" w:type="dxa"/>
            <w:vMerge w:val="continue"/>
            <w:vAlign w:val="center"/>
          </w:tcPr>
          <w:p>
            <w:pPr>
              <w:shd w:val="clear" w:color="auto" w:fill="FFFFFF"/>
              <w:jc w:val="center"/>
              <w:rPr>
                <w:rFonts w:hint="eastAsia" w:ascii="宋体" w:hAnsi="宋体" w:eastAsia="宋体" w:cs="宋体"/>
                <w:color w:val="auto"/>
                <w:sz w:val="18"/>
                <w:szCs w:val="18"/>
              </w:rPr>
            </w:pPr>
          </w:p>
        </w:tc>
        <w:tc>
          <w:tcPr>
            <w:tcW w:w="1163" w:type="dxa"/>
            <w:vAlign w:val="center"/>
          </w:tcPr>
          <w:p>
            <w:pPr>
              <w:shd w:val="clear" w:color="auto" w:fill="FFFFFF"/>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售后服务方案</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w:t>
            </w:r>
          </w:p>
        </w:tc>
        <w:tc>
          <w:tcPr>
            <w:tcW w:w="6543" w:type="dxa"/>
            <w:vAlign w:val="center"/>
          </w:tcPr>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供应商应提供针对本项目制定符合本项目的售后服务方案，方案中需明确①针对本项目所能提供的相关售后服务内容②应急情况解决方案③现场服务到位时间④售后人员安排合理度。</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以上各项措施齐全完全满足需求得</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分，未提供不得分；每缺少1项或其完全无法满足项目需求的扣</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分，每有1项中内容存在缺陷或不足扣</w:t>
            </w:r>
            <w:r>
              <w:rPr>
                <w:rFonts w:hint="eastAsia" w:ascii="宋体" w:hAnsi="宋体" w:eastAsia="宋体" w:cs="宋体"/>
                <w:color w:val="auto"/>
                <w:sz w:val="18"/>
                <w:szCs w:val="18"/>
                <w:lang w:val="en-US" w:eastAsia="zh-CN"/>
              </w:rPr>
              <w:t>0.5</w:t>
            </w:r>
            <w:r>
              <w:rPr>
                <w:rFonts w:hint="eastAsia" w:ascii="宋体" w:hAnsi="宋体" w:eastAsia="宋体" w:cs="宋体"/>
                <w:color w:val="auto"/>
                <w:sz w:val="18"/>
                <w:szCs w:val="18"/>
              </w:rPr>
              <w:t>分。</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注:1.内容存在缺陷或不足是指内容有不满足项目要求或与项目无关的或与项目不匹配之处或项目内容、实施时间地点、涉及的规范、服务标准要求与本项目有不一致之处的情形；2.内容存在部分瑕疵是指内容完整，但存在部分不符合项目实际或细节错误之处。）</w:t>
            </w:r>
          </w:p>
        </w:tc>
        <w:tc>
          <w:tcPr>
            <w:tcW w:w="1261" w:type="dxa"/>
            <w:vAlign w:val="center"/>
          </w:tcPr>
          <w:p>
            <w:pPr>
              <w:shd w:val="clear" w:color="auto" w:fill="FFFFFF"/>
              <w:spacing w:line="38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64" w:type="dxa"/>
            <w:vMerge w:val="continue"/>
            <w:vAlign w:val="center"/>
          </w:tcPr>
          <w:p>
            <w:pPr>
              <w:shd w:val="clear" w:color="auto" w:fill="FFFFFF"/>
              <w:spacing w:line="380" w:lineRule="exact"/>
              <w:jc w:val="center"/>
              <w:rPr>
                <w:rFonts w:hint="eastAsia" w:ascii="宋体" w:hAnsi="宋体" w:eastAsia="宋体" w:cs="宋体"/>
                <w:color w:val="auto"/>
                <w:sz w:val="18"/>
                <w:szCs w:val="18"/>
              </w:rPr>
            </w:pPr>
          </w:p>
        </w:tc>
        <w:tc>
          <w:tcPr>
            <w:tcW w:w="852" w:type="dxa"/>
            <w:vMerge w:val="continue"/>
            <w:vAlign w:val="center"/>
          </w:tcPr>
          <w:p>
            <w:pPr>
              <w:shd w:val="clear" w:color="auto" w:fill="FFFFFF"/>
              <w:jc w:val="center"/>
              <w:rPr>
                <w:rFonts w:hint="eastAsia" w:ascii="宋体" w:hAnsi="宋体" w:eastAsia="宋体" w:cs="宋体"/>
                <w:color w:val="auto"/>
                <w:sz w:val="18"/>
                <w:szCs w:val="18"/>
              </w:rPr>
            </w:pPr>
          </w:p>
        </w:tc>
        <w:tc>
          <w:tcPr>
            <w:tcW w:w="1163" w:type="dxa"/>
            <w:vAlign w:val="center"/>
          </w:tcPr>
          <w:p>
            <w:pPr>
              <w:shd w:val="clear" w:color="auto" w:fill="FFFFFF"/>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验收方案（4分）</w:t>
            </w:r>
          </w:p>
        </w:tc>
        <w:tc>
          <w:tcPr>
            <w:tcW w:w="6543" w:type="dxa"/>
            <w:vAlign w:val="center"/>
          </w:tcPr>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供应商需根据本项目提供验收方案，包含但不限于：①验收方法②验收程序③验收标准④验收人员安排。</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以上各项措施齐全完全满足需求得</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分未提供不得分；每缺少1项或其完全无法满足项目需求的扣</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分，每有1项中内容存在缺陷或不足扣0.5分。</w:t>
            </w:r>
          </w:p>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注:1.内容存在缺陷或不足是指内容有不满足项目要求或与项目无关的或与项目不匹配之处或项目内容、实施时间地点、涉及的规范、服务标准要求与本项目有不一致之处的情形；2.内容存在部分瑕疵是指内容完整，但存在部分不符合项目实际或细节错误之处。）</w:t>
            </w:r>
          </w:p>
        </w:tc>
        <w:tc>
          <w:tcPr>
            <w:tcW w:w="1261" w:type="dxa"/>
            <w:vAlign w:val="center"/>
          </w:tcPr>
          <w:p>
            <w:pPr>
              <w:shd w:val="clear" w:color="auto" w:fill="FFFFFF"/>
              <w:spacing w:line="38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64" w:type="dxa"/>
            <w:vMerge w:val="continue"/>
            <w:vAlign w:val="center"/>
          </w:tcPr>
          <w:p>
            <w:pPr>
              <w:shd w:val="clear" w:color="auto" w:fill="FFFFFF"/>
              <w:spacing w:line="380" w:lineRule="exact"/>
              <w:jc w:val="center"/>
              <w:rPr>
                <w:rFonts w:hint="eastAsia" w:ascii="宋体" w:hAnsi="宋体" w:eastAsia="宋体" w:cs="宋体"/>
                <w:color w:val="auto"/>
                <w:sz w:val="18"/>
                <w:szCs w:val="18"/>
              </w:rPr>
            </w:pPr>
          </w:p>
        </w:tc>
        <w:tc>
          <w:tcPr>
            <w:tcW w:w="852" w:type="dxa"/>
            <w:vMerge w:val="continue"/>
            <w:vAlign w:val="center"/>
          </w:tcPr>
          <w:p>
            <w:pPr>
              <w:shd w:val="clear" w:color="auto" w:fill="FFFFFF"/>
              <w:jc w:val="center"/>
              <w:rPr>
                <w:rFonts w:hint="eastAsia" w:ascii="宋体" w:hAnsi="宋体" w:eastAsia="宋体" w:cs="宋体"/>
                <w:color w:val="auto"/>
                <w:sz w:val="18"/>
                <w:szCs w:val="18"/>
              </w:rPr>
            </w:pPr>
          </w:p>
        </w:tc>
        <w:tc>
          <w:tcPr>
            <w:tcW w:w="1163" w:type="dxa"/>
            <w:vAlign w:val="center"/>
          </w:tcPr>
          <w:p>
            <w:pPr>
              <w:shd w:val="clear" w:color="auto" w:fill="FFFFFF"/>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rPr>
              <w:t>节能环保（</w:t>
            </w:r>
            <w:r>
              <w:rPr>
                <w:rFonts w:hint="eastAsia" w:ascii="宋体" w:hAnsi="宋体" w:cs="宋体"/>
                <w:color w:val="auto"/>
                <w:kern w:val="0"/>
                <w:sz w:val="18"/>
                <w:szCs w:val="18"/>
                <w:lang w:val="en-US" w:eastAsia="zh-CN"/>
              </w:rPr>
              <w:t>2</w:t>
            </w:r>
            <w:r>
              <w:rPr>
                <w:rFonts w:hint="eastAsia" w:ascii="宋体" w:hAnsi="宋体" w:eastAsia="宋体" w:cs="宋体"/>
                <w:color w:val="auto"/>
                <w:kern w:val="0"/>
                <w:sz w:val="18"/>
                <w:szCs w:val="18"/>
              </w:rPr>
              <w:t>分）</w:t>
            </w:r>
          </w:p>
        </w:tc>
        <w:tc>
          <w:tcPr>
            <w:tcW w:w="6543" w:type="dxa"/>
            <w:vAlign w:val="center"/>
          </w:tcPr>
          <w:p>
            <w:pPr>
              <w:shd w:val="clear" w:color="auto" w:fill="FFFFFF"/>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投标产品中属于政府采购优先采购范围的，每提供一项节能产品或者环境标志产品证书的得</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分，本项最多得</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分。</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注：</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1)节能产品、环境标志产品优先采购范围以品目清单为准，财政部、发展改革委、生态环境部等根据产品节能环保性能，技术水平和市场成熟程度等因素，确定实施政府优先采购和强制采购的产品类别及所依据的相关标准规范，以品目清单的形式发布并适时调整。</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2)投标产品属于优先采购范围类的节能产品或者环境标志产品的，提供国家确定的认证机构出具的、处于有效期之内的节能产品、环境标志产品认证证书复印件并加盖厂家公章。</w:t>
            </w:r>
          </w:p>
        </w:tc>
        <w:tc>
          <w:tcPr>
            <w:tcW w:w="1261" w:type="dxa"/>
            <w:vAlign w:val="center"/>
          </w:tcPr>
          <w:p>
            <w:pPr>
              <w:shd w:val="clear" w:color="auto" w:fill="FFFFFF"/>
              <w:spacing w:line="380" w:lineRule="exact"/>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分</w:t>
            </w:r>
          </w:p>
        </w:tc>
      </w:tr>
    </w:tbl>
    <w:p>
      <w:pPr>
        <w:rPr>
          <w:rFonts w:hint="eastAsia"/>
          <w:lang w:val="en-US" w:eastAsia="zh-CN"/>
        </w:rPr>
      </w:pP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8"/>
    <w:family w:val="modern"/>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EB"/>
    <w:rsid w:val="00214FD8"/>
    <w:rsid w:val="004501E3"/>
    <w:rsid w:val="00513E25"/>
    <w:rsid w:val="00557CEB"/>
    <w:rsid w:val="00572F05"/>
    <w:rsid w:val="005B35BC"/>
    <w:rsid w:val="006A34CA"/>
    <w:rsid w:val="007764E6"/>
    <w:rsid w:val="00782528"/>
    <w:rsid w:val="008B00F6"/>
    <w:rsid w:val="00993E6F"/>
    <w:rsid w:val="009D3856"/>
    <w:rsid w:val="00AC4D59"/>
    <w:rsid w:val="00B9526B"/>
    <w:rsid w:val="00DC1B8C"/>
    <w:rsid w:val="00F86A97"/>
    <w:rsid w:val="00FB4B4F"/>
    <w:rsid w:val="17975067"/>
    <w:rsid w:val="1BB6445B"/>
    <w:rsid w:val="4E05286C"/>
    <w:rsid w:val="B6FFBB6A"/>
    <w:rsid w:val="B79FE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rPr>
      <w:rFonts w:ascii="宋体"/>
      <w:sz w:val="18"/>
      <w:szCs w:val="18"/>
    </w:rPr>
  </w:style>
  <w:style w:type="paragraph" w:styleId="4">
    <w:name w:val="annotation text"/>
    <w:basedOn w:val="1"/>
    <w:link w:val="17"/>
    <w:semiHidden/>
    <w:unhideWhenUsed/>
    <w:qFormat/>
    <w:uiPriority w:val="99"/>
    <w:pPr>
      <w:jc w:val="left"/>
    </w:pPr>
    <w:rPr>
      <w:rFonts w:ascii="Calibri" w:hAnsi="Calibri"/>
    </w:rPr>
  </w:style>
  <w:style w:type="paragraph" w:styleId="5">
    <w:name w:val="Body Text"/>
    <w:basedOn w:val="1"/>
    <w:next w:val="1"/>
    <w:link w:val="16"/>
    <w:qFormat/>
    <w:uiPriority w:val="0"/>
    <w:pPr>
      <w:tabs>
        <w:tab w:val="left" w:pos="567"/>
      </w:tabs>
      <w:spacing w:before="120" w:line="22" w:lineRule="atLeast"/>
    </w:pPr>
    <w:rPr>
      <w:rFonts w:ascii="宋体" w:hAnsi="宋体"/>
      <w:sz w:val="24"/>
    </w:rPr>
  </w:style>
  <w:style w:type="paragraph" w:styleId="6">
    <w:name w:val="Balloon Text"/>
    <w:basedOn w:val="1"/>
    <w:link w:val="18"/>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paragraph" w:customStyle="1" w:styleId="1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5">
    <w:name w:val="标题 1 字符"/>
    <w:basedOn w:val="10"/>
    <w:link w:val="2"/>
    <w:qFormat/>
    <w:uiPriority w:val="9"/>
    <w:rPr>
      <w:rFonts w:ascii="Times New Roman" w:hAnsi="Times New Roman" w:eastAsia="宋体" w:cs="Times New Roman"/>
      <w:b/>
      <w:bCs/>
      <w:kern w:val="44"/>
      <w:sz w:val="44"/>
      <w:szCs w:val="44"/>
    </w:rPr>
  </w:style>
  <w:style w:type="character" w:customStyle="1" w:styleId="16">
    <w:name w:val="正文文本 字符"/>
    <w:basedOn w:val="10"/>
    <w:link w:val="5"/>
    <w:qFormat/>
    <w:uiPriority w:val="0"/>
    <w:rPr>
      <w:rFonts w:ascii="宋体" w:hAnsi="宋体" w:eastAsia="宋体" w:cs="Times New Roman"/>
      <w:sz w:val="24"/>
      <w:szCs w:val="24"/>
    </w:rPr>
  </w:style>
  <w:style w:type="character" w:customStyle="1" w:styleId="17">
    <w:name w:val="批注文字 字符"/>
    <w:basedOn w:val="10"/>
    <w:link w:val="4"/>
    <w:semiHidden/>
    <w:qFormat/>
    <w:uiPriority w:val="99"/>
    <w:rPr>
      <w:rFonts w:ascii="Calibri" w:hAnsi="Calibri" w:eastAsia="宋体" w:cs="Times New Roman"/>
      <w:szCs w:val="24"/>
    </w:rPr>
  </w:style>
  <w:style w:type="character" w:customStyle="1" w:styleId="18">
    <w:name w:val="批注框文本 字符"/>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2089</Words>
  <Characters>2171</Characters>
  <Lines>17</Lines>
  <Paragraphs>4</Paragraphs>
  <TotalTime>0</TotalTime>
  <ScaleCrop>false</ScaleCrop>
  <LinksUpToDate>false</LinksUpToDate>
  <CharactersWithSpaces>2210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2025-08-08T03:09:00Z</dcterms:created>
  <dc:creator>樊德松</dc:creator>
  <cp:lastModifiedBy>huawei</cp:lastModifiedBy>
  <dcterms:modified xsi:type="dcterms:W3CDTF">2025-11-04T17:30:01Z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eyJoZGlkIjoiYzhjNWZmMzVlMTdiNGIzZDZkZTQ5ZjBjZWEyYjE4M2QiLCJ1c2VySWQiOiI0OTc2MTg5NTMifQ==</vt:lpwstr>
  </property>
  <property fmtid="{D5CDD505-2E9C-101B-9397-08002B2CF9AE}" pid="3" name="KSOProductBuildVer">
    <vt:lpwstr>2052-11.8.2.10505</vt:lpwstr>
  </property>
  <property fmtid="{D5CDD505-2E9C-101B-9397-08002B2CF9AE}" pid="4" name="ICV">
    <vt:lpwstr>7FEE29BBE61C493CBD58DD8E52F60A9B_12</vt:lpwstr>
  </property>
</Properties>
</file>