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565255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96" w:beforeAutospacing="0" w:after="0" w:afterAutospacing="0" w:line="576" w:lineRule="exact"/>
        <w:ind w:right="0" w:rightChars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0"/>
          <w:szCs w:val="40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0"/>
          <w:szCs w:val="40"/>
        </w:rPr>
        <w:t>拉萨师范学院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0"/>
          <w:szCs w:val="40"/>
          <w:lang w:val="en-US" w:eastAsia="zh-CN"/>
        </w:rPr>
        <w:t>文艺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0"/>
          <w:szCs w:val="40"/>
        </w:rPr>
        <w:t>晚会背景制作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0"/>
          <w:szCs w:val="40"/>
          <w:lang w:val="en-US" w:eastAsia="zh-CN"/>
        </w:rPr>
        <w:t>项目评分表</w:t>
      </w:r>
    </w:p>
    <w:p w14:paraId="5AE890E7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96" w:beforeAutospacing="0" w:after="0" w:afterAutospacing="0" w:line="576" w:lineRule="exact"/>
        <w:ind w:left="0" w:leftChars="0" w:right="0" w:rightChars="0" w:firstLine="480" w:firstLineChars="200"/>
        <w:jc w:val="left"/>
        <w:textAlignment w:val="auto"/>
        <w:rPr>
          <w:rFonts w:hint="default" w:ascii="方正仿宋_GB18030" w:hAnsi="方正仿宋_GB18030" w:eastAsia="方正仿宋_GB18030" w:cs="方正仿宋_GB18030"/>
          <w:color w:val="auto"/>
          <w:sz w:val="24"/>
          <w:szCs w:val="24"/>
          <w:vertAlign w:val="baseline"/>
          <w:lang w:val="en-US" w:eastAsia="zh-CN"/>
        </w:rPr>
      </w:pPr>
      <w:r>
        <w:rPr>
          <w:rFonts w:hint="default" w:ascii="方正仿宋_GB18030" w:hAnsi="方正仿宋_GB18030" w:eastAsia="方正仿宋_GB18030" w:cs="方正仿宋_GB18030"/>
          <w:color w:val="auto"/>
          <w:sz w:val="24"/>
          <w:szCs w:val="24"/>
          <w:vertAlign w:val="baseline"/>
          <w:lang w:val="en-US" w:eastAsia="zh-CN"/>
        </w:rPr>
        <w:t>本项目采用综合评分法，总分100分，各项得分相加，即为参选单位最终综合得分。评审时，评审组按照采购文件规定的量化因素和权重比重打分。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4"/>
        <w:gridCol w:w="2055"/>
        <w:gridCol w:w="1425"/>
        <w:gridCol w:w="3818"/>
      </w:tblGrid>
      <w:tr w14:paraId="579207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4" w:type="dxa"/>
            <w:shd w:val="clear" w:color="auto" w:fill="auto"/>
            <w:vAlign w:val="center"/>
          </w:tcPr>
          <w:p w14:paraId="03190FC3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96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方正仿宋_GB18030" w:hAnsi="方正仿宋_GB18030" w:eastAsia="方正仿宋_GB18030" w:cs="方正仿宋_GB18030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color w:val="auto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2055" w:type="dxa"/>
            <w:shd w:val="clear" w:color="auto" w:fill="auto"/>
            <w:vAlign w:val="center"/>
          </w:tcPr>
          <w:p w14:paraId="350433C5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96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方正仿宋_GB18030" w:hAnsi="方正仿宋_GB18030" w:eastAsia="方正仿宋_GB18030" w:cs="方正仿宋_GB18030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color w:val="auto"/>
                <w:sz w:val="32"/>
                <w:szCs w:val="32"/>
                <w:vertAlign w:val="baseline"/>
                <w:lang w:val="en-US" w:eastAsia="zh-CN"/>
              </w:rPr>
              <w:t>评分项目</w:t>
            </w:r>
          </w:p>
        </w:tc>
        <w:tc>
          <w:tcPr>
            <w:tcW w:w="1425" w:type="dxa"/>
            <w:shd w:val="clear" w:color="auto" w:fill="auto"/>
            <w:vAlign w:val="center"/>
          </w:tcPr>
          <w:p w14:paraId="64A5DED5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96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方正仿宋_GB18030" w:hAnsi="方正仿宋_GB18030" w:eastAsia="方正仿宋_GB18030" w:cs="方正仿宋_GB18030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color w:val="auto"/>
                <w:sz w:val="32"/>
                <w:szCs w:val="32"/>
                <w:vertAlign w:val="baseline"/>
                <w:lang w:val="en-US" w:eastAsia="zh-CN"/>
              </w:rPr>
              <w:t>分值</w:t>
            </w:r>
          </w:p>
        </w:tc>
        <w:tc>
          <w:tcPr>
            <w:tcW w:w="3818" w:type="dxa"/>
            <w:shd w:val="clear" w:color="auto" w:fill="auto"/>
            <w:vAlign w:val="center"/>
          </w:tcPr>
          <w:p w14:paraId="790A5173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96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方正仿宋_GB18030" w:hAnsi="方正仿宋_GB18030" w:eastAsia="方正仿宋_GB18030" w:cs="方正仿宋_GB18030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color w:val="auto"/>
                <w:sz w:val="32"/>
                <w:szCs w:val="32"/>
                <w:vertAlign w:val="baseline"/>
                <w:lang w:val="en-US" w:eastAsia="zh-CN"/>
              </w:rPr>
              <w:t>评分标准</w:t>
            </w:r>
          </w:p>
        </w:tc>
      </w:tr>
      <w:tr w14:paraId="26D4C6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4" w:type="dxa"/>
            <w:vAlign w:val="center"/>
          </w:tcPr>
          <w:p w14:paraId="3508A6AC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6" w:beforeAutospacing="0" w:after="0" w:afterAutospacing="0" w:line="576" w:lineRule="exact"/>
              <w:ind w:right="0" w:rightChars="0"/>
              <w:jc w:val="center"/>
              <w:textAlignment w:val="auto"/>
              <w:rPr>
                <w:rFonts w:hint="default" w:ascii="方正仿宋_GB18030" w:hAnsi="方正仿宋_GB18030" w:eastAsia="方正仿宋_GB18030" w:cs="方正仿宋_GB1803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55" w:type="dxa"/>
            <w:vAlign w:val="center"/>
          </w:tcPr>
          <w:p w14:paraId="0AE1FAA4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6" w:beforeAutospacing="0" w:after="0" w:afterAutospacing="0" w:line="576" w:lineRule="exact"/>
              <w:ind w:right="0" w:rightChars="0"/>
              <w:jc w:val="center"/>
              <w:textAlignment w:val="auto"/>
              <w:rPr>
                <w:rFonts w:hint="default" w:ascii="方正仿宋_GB18030" w:hAnsi="方正仿宋_GB18030" w:eastAsia="方正仿宋_GB18030" w:cs="方正仿宋_GB1803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color w:val="auto"/>
                <w:sz w:val="32"/>
                <w:szCs w:val="32"/>
                <w:vertAlign w:val="baseline"/>
                <w:lang w:val="en-US" w:eastAsia="zh-CN"/>
              </w:rPr>
              <w:t>总分</w:t>
            </w:r>
          </w:p>
        </w:tc>
        <w:tc>
          <w:tcPr>
            <w:tcW w:w="1425" w:type="dxa"/>
            <w:vAlign w:val="center"/>
          </w:tcPr>
          <w:p w14:paraId="38E28FC0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6" w:beforeAutospacing="0" w:after="0" w:afterAutospacing="0" w:line="576" w:lineRule="exact"/>
              <w:ind w:right="0" w:rightChars="0"/>
              <w:jc w:val="center"/>
              <w:textAlignment w:val="auto"/>
              <w:rPr>
                <w:rFonts w:hint="default" w:ascii="方正仿宋_GB18030" w:hAnsi="方正仿宋_GB18030" w:eastAsia="方正仿宋_GB18030" w:cs="方正仿宋_GB1803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color w:val="auto"/>
                <w:sz w:val="32"/>
                <w:szCs w:val="32"/>
                <w:vertAlign w:val="baseline"/>
                <w:lang w:val="en-US" w:eastAsia="zh-CN"/>
              </w:rPr>
              <w:t>100分</w:t>
            </w:r>
          </w:p>
        </w:tc>
        <w:tc>
          <w:tcPr>
            <w:tcW w:w="3818" w:type="dxa"/>
            <w:vAlign w:val="center"/>
          </w:tcPr>
          <w:p w14:paraId="565B3DDA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6" w:beforeAutospacing="0" w:after="0" w:afterAutospacing="0" w:line="576" w:lineRule="exact"/>
              <w:ind w:right="0" w:rightChars="0"/>
              <w:jc w:val="center"/>
              <w:textAlignment w:val="auto"/>
              <w:rPr>
                <w:rFonts w:hint="default" w:ascii="方正仿宋_GB18030" w:hAnsi="方正仿宋_GB18030" w:eastAsia="方正仿宋_GB18030" w:cs="方正仿宋_GB1803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DB5B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4" w:type="dxa"/>
            <w:vAlign w:val="center"/>
          </w:tcPr>
          <w:p w14:paraId="4CF21921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6" w:beforeAutospacing="0" w:after="0" w:afterAutospacing="0" w:line="576" w:lineRule="exact"/>
              <w:ind w:right="0" w:rightChars="0"/>
              <w:jc w:val="center"/>
              <w:textAlignment w:val="auto"/>
              <w:rPr>
                <w:rFonts w:hint="default" w:ascii="方正仿宋_GB18030" w:hAnsi="方正仿宋_GB18030" w:eastAsia="方正仿宋_GB18030" w:cs="方正仿宋_GB18030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2055" w:type="dxa"/>
            <w:vAlign w:val="center"/>
          </w:tcPr>
          <w:p w14:paraId="1CC5E151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6" w:beforeAutospacing="0" w:after="0" w:afterAutospacing="0" w:line="576" w:lineRule="exact"/>
              <w:ind w:right="0" w:rightChars="0"/>
              <w:jc w:val="center"/>
              <w:textAlignment w:val="auto"/>
              <w:rPr>
                <w:rFonts w:hint="default" w:ascii="方正仿宋_GB18030" w:hAnsi="方正仿宋_GB18030" w:eastAsia="方正仿宋_GB18030" w:cs="方正仿宋_GB18030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报价部分</w:t>
            </w:r>
          </w:p>
        </w:tc>
        <w:tc>
          <w:tcPr>
            <w:tcW w:w="1425" w:type="dxa"/>
            <w:vAlign w:val="center"/>
          </w:tcPr>
          <w:p w14:paraId="7241AA5D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6" w:beforeAutospacing="0" w:after="0" w:afterAutospacing="0" w:line="576" w:lineRule="exact"/>
              <w:ind w:right="0" w:rightChars="0"/>
              <w:jc w:val="center"/>
              <w:textAlignment w:val="auto"/>
              <w:rPr>
                <w:rFonts w:hint="default" w:ascii="方正仿宋_GB18030" w:hAnsi="方正仿宋_GB18030" w:eastAsia="方正仿宋_GB18030" w:cs="方正仿宋_GB18030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30分</w:t>
            </w:r>
          </w:p>
        </w:tc>
        <w:tc>
          <w:tcPr>
            <w:tcW w:w="3818" w:type="dxa"/>
            <w:vAlign w:val="center"/>
          </w:tcPr>
          <w:p w14:paraId="27080D53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6" w:beforeAutospacing="0" w:after="0" w:afterAutospacing="0" w:line="576" w:lineRule="exact"/>
              <w:ind w:right="0" w:rightChars="0"/>
              <w:jc w:val="both"/>
              <w:textAlignment w:val="auto"/>
              <w:rPr>
                <w:rFonts w:hint="eastAsia" w:ascii="方正仿宋_GB18030" w:hAnsi="方正仿宋_GB18030" w:eastAsia="方正仿宋_GB18030" w:cs="方正仿宋_GB18030"/>
                <w:color w:val="auto"/>
                <w:sz w:val="32"/>
                <w:szCs w:val="32"/>
              </w:rPr>
            </w:pPr>
            <w:r>
              <w:rPr>
                <w:rFonts w:hint="eastAsia" w:ascii="方正仿宋_GB18030" w:hAnsi="方正仿宋_GB18030" w:eastAsia="方正仿宋_GB18030" w:cs="方正仿宋_GB18030"/>
                <w:color w:val="auto"/>
                <w:sz w:val="32"/>
                <w:szCs w:val="32"/>
              </w:rPr>
              <w:t>报价不超过项目预算3万元，且在所有有效报价中最低的得30分；</w:t>
            </w:r>
          </w:p>
          <w:p w14:paraId="763A9E55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6" w:beforeAutospacing="0" w:after="0" w:afterAutospacing="0" w:line="576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方正仿宋_GB18030" w:hAnsi="方正仿宋_GB18030" w:eastAsia="方正仿宋_GB18030" w:cs="方正仿宋_GB18030"/>
                <w:color w:val="auto"/>
                <w:sz w:val="32"/>
                <w:szCs w:val="32"/>
              </w:rPr>
            </w:pPr>
            <w:r>
              <w:rPr>
                <w:rFonts w:hint="eastAsia" w:ascii="方正仿宋_GB18030" w:hAnsi="方正仿宋_GB18030" w:eastAsia="方正仿宋_GB18030" w:cs="方正仿宋_GB18030"/>
                <w:color w:val="auto"/>
                <w:sz w:val="32"/>
                <w:szCs w:val="32"/>
              </w:rPr>
              <w:t>其他有效报价按“（最低报价/该单位报价）×30”计算得分；</w:t>
            </w:r>
          </w:p>
          <w:p w14:paraId="45EF63F5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6" w:beforeAutospacing="0" w:after="0" w:afterAutospacing="0" w:line="576" w:lineRule="exact"/>
              <w:ind w:left="0" w:leftChars="0" w:right="0" w:rightChars="0" w:firstLine="0" w:firstLineChars="0"/>
              <w:jc w:val="both"/>
              <w:textAlignment w:val="auto"/>
              <w:rPr>
                <w:rFonts w:hint="default" w:ascii="方正仿宋_GB18030" w:hAnsi="方正仿宋_GB18030" w:eastAsia="方正仿宋_GB18030" w:cs="方正仿宋_GB1803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color w:val="auto"/>
                <w:sz w:val="32"/>
                <w:szCs w:val="32"/>
              </w:rPr>
              <w:t>报价超过预算的，此项得0分且取消参选资格</w:t>
            </w:r>
            <w:r>
              <w:rPr>
                <w:rFonts w:hint="eastAsia" w:ascii="方正仿宋_GB18030" w:hAnsi="方正仿宋_GB18030" w:eastAsia="方正仿宋_GB18030" w:cs="方正仿宋_GB18030"/>
                <w:color w:val="auto"/>
                <w:sz w:val="32"/>
                <w:szCs w:val="32"/>
                <w:lang w:eastAsia="zh-CN"/>
              </w:rPr>
              <w:t>。</w:t>
            </w:r>
          </w:p>
        </w:tc>
      </w:tr>
      <w:tr w14:paraId="4CB0D7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4" w:type="dxa"/>
            <w:vAlign w:val="center"/>
          </w:tcPr>
          <w:p w14:paraId="4A637746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6" w:beforeAutospacing="0" w:after="0" w:afterAutospacing="0" w:line="576" w:lineRule="exact"/>
              <w:ind w:right="0" w:rightChars="0"/>
              <w:jc w:val="center"/>
              <w:textAlignment w:val="auto"/>
              <w:rPr>
                <w:rFonts w:hint="default" w:ascii="方正仿宋_GB18030" w:hAnsi="方正仿宋_GB18030" w:eastAsia="方正仿宋_GB18030" w:cs="方正仿宋_GB18030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2055" w:type="dxa"/>
            <w:vAlign w:val="center"/>
          </w:tcPr>
          <w:p w14:paraId="00DB57AC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6" w:beforeAutospacing="0" w:after="0" w:afterAutospacing="0" w:line="576" w:lineRule="exact"/>
              <w:ind w:right="0" w:rightChars="0"/>
              <w:jc w:val="center"/>
              <w:textAlignment w:val="auto"/>
              <w:rPr>
                <w:rFonts w:hint="default" w:ascii="方正仿宋_GB18030" w:hAnsi="方正仿宋_GB18030" w:eastAsia="方正仿宋_GB18030" w:cs="方正仿宋_GB18030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资质与信誉</w:t>
            </w:r>
          </w:p>
        </w:tc>
        <w:tc>
          <w:tcPr>
            <w:tcW w:w="1425" w:type="dxa"/>
            <w:vAlign w:val="center"/>
          </w:tcPr>
          <w:p w14:paraId="105AC464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6" w:beforeAutospacing="0" w:after="0" w:afterAutospacing="0" w:line="576" w:lineRule="exact"/>
              <w:ind w:right="0" w:rightChars="0"/>
              <w:jc w:val="center"/>
              <w:textAlignment w:val="auto"/>
              <w:rPr>
                <w:rFonts w:hint="default" w:ascii="方正仿宋_GB18030" w:hAnsi="方正仿宋_GB18030" w:eastAsia="方正仿宋_GB18030" w:cs="方正仿宋_GB18030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25分</w:t>
            </w:r>
          </w:p>
        </w:tc>
        <w:tc>
          <w:tcPr>
            <w:tcW w:w="3818" w:type="dxa"/>
            <w:vAlign w:val="center"/>
          </w:tcPr>
          <w:p w14:paraId="2ACF75B6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6" w:beforeAutospacing="0" w:after="0" w:afterAutospacing="0" w:line="576" w:lineRule="exact"/>
              <w:ind w:leftChars="0" w:right="0" w:rightChars="0"/>
              <w:jc w:val="both"/>
              <w:textAlignment w:val="auto"/>
              <w:rPr>
                <w:rFonts w:hint="eastAsia" w:ascii="方正仿宋_GB18030" w:hAnsi="方正仿宋_GB18030" w:eastAsia="方正仿宋_GB18030" w:cs="方正仿宋_GB18030"/>
                <w:color w:val="auto"/>
                <w:sz w:val="32"/>
                <w:szCs w:val="32"/>
              </w:rPr>
            </w:pPr>
            <w:r>
              <w:rPr>
                <w:rFonts w:hint="eastAsia" w:ascii="方正仿宋_GB18030" w:hAnsi="方正仿宋_GB18030" w:eastAsia="方正仿宋_GB18030" w:cs="方正仿宋_GB18030"/>
                <w:color w:val="auto"/>
                <w:sz w:val="32"/>
                <w:szCs w:val="32"/>
              </w:rPr>
              <w:t>营业执照、法人身份证、开户许可证等证件齐全有效得15分，缺1项扣5分；</w:t>
            </w:r>
          </w:p>
          <w:p w14:paraId="591139FF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6" w:beforeAutospacing="0" w:after="0" w:afterAutospacing="0" w:line="576" w:lineRule="exact"/>
              <w:ind w:leftChars="0" w:right="0" w:rightChars="0"/>
              <w:jc w:val="both"/>
              <w:textAlignment w:val="auto"/>
              <w:rPr>
                <w:rFonts w:hint="default" w:ascii="方正仿宋_GB18030" w:hAnsi="方正仿宋_GB18030" w:eastAsia="方正仿宋_GB18030" w:cs="方正仿宋_GB18030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color w:val="auto"/>
                <w:sz w:val="32"/>
                <w:szCs w:val="32"/>
              </w:rPr>
              <w:t>近3个月社保+完税证明完整得10分，缺1项扣5分。</w:t>
            </w:r>
          </w:p>
        </w:tc>
      </w:tr>
      <w:tr w14:paraId="4B10F1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4" w:type="dxa"/>
            <w:vAlign w:val="center"/>
          </w:tcPr>
          <w:p w14:paraId="37E35702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6" w:beforeAutospacing="0" w:after="0" w:afterAutospacing="0" w:line="576" w:lineRule="exact"/>
              <w:ind w:right="0" w:rightChars="0"/>
              <w:jc w:val="center"/>
              <w:textAlignment w:val="auto"/>
              <w:rPr>
                <w:rFonts w:hint="default" w:ascii="方正仿宋_GB18030" w:hAnsi="方正仿宋_GB18030" w:eastAsia="方正仿宋_GB18030" w:cs="方正仿宋_GB18030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2055" w:type="dxa"/>
            <w:vAlign w:val="center"/>
          </w:tcPr>
          <w:p w14:paraId="6E9DB3E3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6" w:beforeAutospacing="0" w:after="0" w:afterAutospacing="0" w:line="576" w:lineRule="exact"/>
              <w:ind w:right="0" w:rightChars="0"/>
              <w:jc w:val="center"/>
              <w:textAlignment w:val="auto"/>
              <w:rPr>
                <w:rFonts w:hint="default" w:ascii="方正仿宋_GB18030" w:hAnsi="方正仿宋_GB18030" w:eastAsia="方正仿宋_GB18030" w:cs="方正仿宋_GB18030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项目方案</w:t>
            </w:r>
          </w:p>
        </w:tc>
        <w:tc>
          <w:tcPr>
            <w:tcW w:w="1425" w:type="dxa"/>
            <w:vAlign w:val="center"/>
          </w:tcPr>
          <w:p w14:paraId="3FF246D1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6" w:beforeAutospacing="0" w:after="0" w:afterAutospacing="0" w:line="576" w:lineRule="exact"/>
              <w:ind w:right="0" w:rightChars="0"/>
              <w:jc w:val="center"/>
              <w:textAlignment w:val="auto"/>
              <w:rPr>
                <w:rFonts w:hint="default" w:ascii="方正仿宋_GB18030" w:hAnsi="方正仿宋_GB18030" w:eastAsia="方正仿宋_GB18030" w:cs="方正仿宋_GB18030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35分</w:t>
            </w:r>
          </w:p>
        </w:tc>
        <w:tc>
          <w:tcPr>
            <w:tcW w:w="3818" w:type="dxa"/>
            <w:vAlign w:val="center"/>
          </w:tcPr>
          <w:p w14:paraId="1DF07C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76" w:lineRule="exact"/>
              <w:jc w:val="both"/>
              <w:textAlignment w:val="auto"/>
              <w:rPr>
                <w:rFonts w:hint="eastAsia" w:ascii="方正仿宋_GB18030" w:hAnsi="方正仿宋_GB18030" w:eastAsia="方正仿宋_GB18030" w:cs="方正仿宋_GB18030"/>
                <w:color w:val="auto"/>
                <w:sz w:val="32"/>
                <w:szCs w:val="32"/>
              </w:rPr>
            </w:pPr>
            <w:r>
              <w:rPr>
                <w:rFonts w:hint="eastAsia" w:ascii="方正仿宋_GB18030" w:hAnsi="方正仿宋_GB18030" w:eastAsia="方正仿宋_GB18030" w:cs="方正仿宋_GB18030"/>
                <w:color w:val="auto"/>
                <w:sz w:val="32"/>
                <w:szCs w:val="32"/>
                <w:lang w:val="en-US" w:eastAsia="zh-CN"/>
              </w:rPr>
              <w:t>1.</w:t>
            </w:r>
            <w:r>
              <w:rPr>
                <w:rFonts w:hint="eastAsia" w:ascii="方正仿宋_GB18030" w:hAnsi="方正仿宋_GB18030" w:eastAsia="方正仿宋_GB18030" w:cs="方正仿宋_GB18030"/>
                <w:color w:val="auto"/>
                <w:sz w:val="32"/>
                <w:szCs w:val="32"/>
              </w:rPr>
              <w:t>明确项目对接流程、设计周期、修改机制，且时间安排合理（能匹配晚会筹备进度）的得</w:t>
            </w:r>
            <w:r>
              <w:rPr>
                <w:rFonts w:hint="eastAsia" w:ascii="方正仿宋_GB18030" w:hAnsi="方正仿宋_GB18030" w:eastAsia="方正仿宋_GB18030" w:cs="方正仿宋_GB18030"/>
                <w:color w:val="auto"/>
                <w:sz w:val="32"/>
                <w:szCs w:val="32"/>
                <w:lang w:val="en-US" w:eastAsia="zh-CN"/>
              </w:rPr>
              <w:t>20</w:t>
            </w:r>
            <w:r>
              <w:rPr>
                <w:rFonts w:hint="eastAsia" w:ascii="方正仿宋_GB18030" w:hAnsi="方正仿宋_GB18030" w:eastAsia="方正仿宋_GB18030" w:cs="方正仿宋_GB18030"/>
                <w:color w:val="auto"/>
                <w:sz w:val="32"/>
                <w:szCs w:val="32"/>
              </w:rPr>
              <w:t>分；</w:t>
            </w:r>
          </w:p>
          <w:p w14:paraId="5148DCEC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76" w:lineRule="exact"/>
              <w:ind w:leftChars="0"/>
              <w:jc w:val="both"/>
              <w:textAlignment w:val="auto"/>
              <w:rPr>
                <w:rFonts w:hint="eastAsia" w:ascii="方正仿宋_GB18030" w:hAnsi="方正仿宋_GB18030" w:eastAsia="方正仿宋_GB18030" w:cs="方正仿宋_GB18030"/>
                <w:color w:val="auto"/>
                <w:sz w:val="32"/>
                <w:szCs w:val="32"/>
              </w:rPr>
            </w:pPr>
            <w:r>
              <w:rPr>
                <w:rFonts w:hint="eastAsia" w:ascii="方正仿宋_GB18030" w:hAnsi="方正仿宋_GB18030" w:eastAsia="方正仿宋_GB18030" w:cs="方正仿宋_GB18030"/>
                <w:color w:val="auto"/>
                <w:sz w:val="32"/>
                <w:szCs w:val="32"/>
                <w:lang w:val="en-US" w:eastAsia="zh-CN"/>
              </w:rPr>
              <w:t>2.</w:t>
            </w:r>
            <w:r>
              <w:rPr>
                <w:rFonts w:hint="eastAsia" w:ascii="方正仿宋_GB18030" w:hAnsi="方正仿宋_GB18030" w:eastAsia="方正仿宋_GB18030" w:cs="方正仿宋_GB18030"/>
                <w:color w:val="auto"/>
                <w:sz w:val="32"/>
                <w:szCs w:val="32"/>
              </w:rPr>
              <w:t>执行计划较清晰，但细节不完善的得</w:t>
            </w:r>
            <w:r>
              <w:rPr>
                <w:rFonts w:hint="eastAsia" w:ascii="方正仿宋_GB18030" w:hAnsi="方正仿宋_GB18030" w:eastAsia="方正仿宋_GB18030" w:cs="方正仿宋_GB18030"/>
                <w:color w:val="auto"/>
                <w:sz w:val="32"/>
                <w:szCs w:val="32"/>
                <w:lang w:val="en-US" w:eastAsia="zh-CN"/>
              </w:rPr>
              <w:t>10</w:t>
            </w:r>
            <w:r>
              <w:rPr>
                <w:rFonts w:hint="eastAsia" w:ascii="方正仿宋_GB18030" w:hAnsi="方正仿宋_GB18030" w:eastAsia="方正仿宋_GB18030" w:cs="方正仿宋_GB18030"/>
                <w:color w:val="auto"/>
                <w:sz w:val="32"/>
                <w:szCs w:val="32"/>
              </w:rPr>
              <w:t>-</w:t>
            </w:r>
            <w:r>
              <w:rPr>
                <w:rFonts w:hint="eastAsia" w:ascii="方正仿宋_GB18030" w:hAnsi="方正仿宋_GB18030" w:eastAsia="方正仿宋_GB18030" w:cs="方正仿宋_GB18030"/>
                <w:color w:val="auto"/>
                <w:sz w:val="32"/>
                <w:szCs w:val="32"/>
                <w:lang w:val="en-US" w:eastAsia="zh-CN"/>
              </w:rPr>
              <w:t>15</w:t>
            </w:r>
            <w:r>
              <w:rPr>
                <w:rFonts w:hint="eastAsia" w:ascii="方正仿宋_GB18030" w:hAnsi="方正仿宋_GB18030" w:eastAsia="方正仿宋_GB18030" w:cs="方正仿宋_GB18030"/>
                <w:color w:val="auto"/>
                <w:sz w:val="32"/>
                <w:szCs w:val="32"/>
              </w:rPr>
              <w:t>分；</w:t>
            </w:r>
          </w:p>
          <w:p w14:paraId="710D096C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76" w:lineRule="exact"/>
              <w:ind w:leftChars="0"/>
              <w:jc w:val="both"/>
              <w:textAlignment w:val="auto"/>
              <w:rPr>
                <w:rFonts w:hint="eastAsia" w:ascii="方正仿宋_GB18030" w:hAnsi="方正仿宋_GB18030" w:eastAsia="方正仿宋_GB18030" w:cs="方正仿宋_GB18030"/>
                <w:color w:val="auto"/>
                <w:sz w:val="32"/>
                <w:szCs w:val="32"/>
              </w:rPr>
            </w:pPr>
            <w:r>
              <w:rPr>
                <w:rFonts w:hint="eastAsia" w:ascii="方正仿宋_GB18030" w:hAnsi="方正仿宋_GB18030" w:eastAsia="方正仿宋_GB18030" w:cs="方正仿宋_GB18030"/>
                <w:color w:val="auto"/>
                <w:sz w:val="32"/>
                <w:szCs w:val="32"/>
              </w:rPr>
              <w:t>3. 无明确执行计划的得0-4分。</w:t>
            </w:r>
          </w:p>
          <w:p w14:paraId="63DC3AB1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6" w:beforeAutospacing="0" w:after="0" w:afterAutospacing="0" w:line="576" w:lineRule="exact"/>
              <w:ind w:right="0" w:rightChars="0"/>
              <w:jc w:val="both"/>
              <w:textAlignment w:val="auto"/>
              <w:rPr>
                <w:rFonts w:hint="default" w:ascii="方正仿宋_GB18030" w:hAnsi="方正仿宋_GB18030" w:eastAsia="方正仿宋_GB18030" w:cs="方正仿宋_GB1803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15C597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4" w:type="dxa"/>
            <w:vAlign w:val="center"/>
          </w:tcPr>
          <w:p w14:paraId="20CA3A28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6" w:beforeAutospacing="0" w:after="0" w:afterAutospacing="0" w:line="576" w:lineRule="exact"/>
              <w:ind w:right="0" w:rightChars="0"/>
              <w:jc w:val="center"/>
              <w:textAlignment w:val="auto"/>
              <w:rPr>
                <w:rFonts w:hint="default" w:ascii="方正仿宋_GB18030" w:hAnsi="方正仿宋_GB18030" w:eastAsia="方正仿宋_GB18030" w:cs="方正仿宋_GB18030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2055" w:type="dxa"/>
            <w:vAlign w:val="center"/>
          </w:tcPr>
          <w:p w14:paraId="6856C42B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6" w:beforeAutospacing="0" w:after="0" w:afterAutospacing="0" w:line="576" w:lineRule="exact"/>
              <w:ind w:right="0" w:rightChars="0"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eastAsia" w:ascii="方正仿宋_GB18030" w:hAnsi="方正仿宋_GB18030" w:eastAsia="方正仿宋_GB18030" w:cs="方正仿宋_GB18030"/>
                <w:b/>
                <w:bCs/>
                <w:color w:val="auto"/>
                <w:sz w:val="32"/>
                <w:szCs w:val="32"/>
              </w:rPr>
              <w:t>过往业绩</w:t>
            </w:r>
          </w:p>
        </w:tc>
        <w:tc>
          <w:tcPr>
            <w:tcW w:w="1425" w:type="dxa"/>
            <w:vAlign w:val="center"/>
          </w:tcPr>
          <w:p w14:paraId="3D8294D9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6" w:beforeAutospacing="0" w:after="0" w:afterAutospacing="0" w:line="576" w:lineRule="exact"/>
              <w:ind w:right="0" w:rightChars="0"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eastAsia" w:ascii="方正仿宋_GB18030" w:hAnsi="方正仿宋_GB18030" w:eastAsia="方正仿宋_GB18030" w:cs="方正仿宋_GB18030"/>
                <w:b/>
                <w:bCs/>
                <w:color w:val="auto"/>
                <w:sz w:val="32"/>
                <w:szCs w:val="32"/>
              </w:rPr>
              <w:t>10分</w:t>
            </w:r>
          </w:p>
        </w:tc>
        <w:tc>
          <w:tcPr>
            <w:tcW w:w="3818" w:type="dxa"/>
            <w:vAlign w:val="center"/>
          </w:tcPr>
          <w:p w14:paraId="3C55263D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6" w:beforeAutospacing="0" w:after="0" w:afterAutospacing="0" w:line="576" w:lineRule="exact"/>
              <w:ind w:right="0" w:rightChars="0"/>
              <w:jc w:val="both"/>
              <w:textAlignment w:val="auto"/>
              <w:rPr>
                <w:rFonts w:hint="eastAsia" w:ascii="方正仿宋_GB18030" w:hAnsi="方正仿宋_GB18030" w:eastAsia="方正仿宋_GB18030" w:cs="方正仿宋_GB18030"/>
                <w:color w:val="auto"/>
                <w:sz w:val="32"/>
                <w:szCs w:val="32"/>
              </w:rPr>
            </w:pPr>
            <w:r>
              <w:rPr>
                <w:rFonts w:hint="eastAsia" w:ascii="方正仿宋_GB18030" w:hAnsi="方正仿宋_GB18030" w:eastAsia="方正仿宋_GB18030" w:cs="方正仿宋_GB18030"/>
                <w:color w:val="auto"/>
                <w:sz w:val="32"/>
                <w:szCs w:val="32"/>
              </w:rPr>
              <w:t>近2年内承接过文艺晚会背景制作项目</w:t>
            </w:r>
            <w:r>
              <w:rPr>
                <w:rFonts w:hint="eastAsia" w:ascii="方正仿宋_GB18030" w:hAnsi="方正仿宋_GB18030" w:eastAsia="方正仿宋_GB18030" w:cs="方正仿宋_GB18030"/>
                <w:color w:val="auto"/>
                <w:sz w:val="32"/>
                <w:szCs w:val="32"/>
                <w:lang w:eastAsia="zh-CN"/>
              </w:rPr>
              <w:t>，</w:t>
            </w:r>
            <w:r>
              <w:rPr>
                <w:rFonts w:hint="eastAsia" w:ascii="方正仿宋_GB18030" w:hAnsi="方正仿宋_GB18030" w:eastAsia="方正仿宋_GB18030" w:cs="方正仿宋_GB18030"/>
                <w:color w:val="auto"/>
                <w:sz w:val="32"/>
                <w:szCs w:val="32"/>
                <w:lang w:val="en-US" w:eastAsia="zh-CN"/>
              </w:rPr>
              <w:t>包括但不限于</w:t>
            </w:r>
            <w:r>
              <w:rPr>
                <w:rFonts w:hint="eastAsia" w:ascii="方正仿宋_GB18030" w:hAnsi="方正仿宋_GB18030" w:eastAsia="方正仿宋_GB18030" w:cs="方正仿宋_GB18030"/>
                <w:color w:val="auto"/>
                <w:sz w:val="32"/>
                <w:szCs w:val="32"/>
              </w:rPr>
              <w:t>高校/政府类文艺晚会背景制作项目，每提供1个完整案例（附合同或验收证明）得3分，最高得10分；</w:t>
            </w:r>
          </w:p>
          <w:p w14:paraId="35C38499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6" w:beforeAutospacing="0" w:after="0" w:afterAutospacing="0" w:line="576" w:lineRule="exact"/>
              <w:ind w:right="0" w:rightChars="0"/>
              <w:jc w:val="both"/>
              <w:textAlignment w:val="auto"/>
              <w:rPr>
                <w:rFonts w:hint="default" w:ascii="方正仿宋_GB18030" w:hAnsi="方正仿宋_GB18030" w:eastAsia="方正仿宋_GB18030" w:cs="方正仿宋_GB1803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color w:val="auto"/>
                <w:sz w:val="32"/>
                <w:szCs w:val="32"/>
              </w:rPr>
              <w:t>2. 无同类项目经验的得0分。</w:t>
            </w:r>
          </w:p>
        </w:tc>
      </w:tr>
    </w:tbl>
    <w:p w14:paraId="78038A6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76" w:lineRule="exact"/>
        <w:textAlignment w:val="auto"/>
        <w:rPr>
          <w:rFonts w:hint="eastAsia" w:ascii="方正仿宋_GB18030" w:hAnsi="方正仿宋_GB18030" w:eastAsia="方正仿宋_GB18030" w:cs="方正仿宋_GB18030"/>
          <w:color w:val="auto"/>
          <w:sz w:val="32"/>
          <w:szCs w:val="32"/>
        </w:rPr>
      </w:pPr>
      <w:r>
        <w:rPr>
          <w:rFonts w:hint="eastAsia" w:ascii="方正仿宋_GB18030" w:hAnsi="方正仿宋_GB18030" w:eastAsia="方正仿宋_GB18030" w:cs="方正仿宋_GB18030"/>
          <w:color w:val="auto"/>
          <w:sz w:val="32"/>
          <w:szCs w:val="32"/>
        </w:rPr>
        <w:t>1. 得分相同者，报价低的优先；报价一致，经验多的优先。</w:t>
      </w:r>
    </w:p>
    <w:p w14:paraId="4A5CD98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76" w:lineRule="exact"/>
        <w:textAlignment w:val="auto"/>
        <w:rPr>
          <w:rFonts w:hint="eastAsia" w:ascii="方正仿宋_GB18030" w:hAnsi="方正仿宋_GB18030" w:eastAsia="方正仿宋_GB18030" w:cs="方正仿宋_GB18030"/>
          <w:color w:val="auto"/>
          <w:sz w:val="32"/>
          <w:szCs w:val="32"/>
        </w:rPr>
      </w:pPr>
      <w:r>
        <w:rPr>
          <w:rFonts w:hint="eastAsia" w:ascii="方正仿宋_GB18030" w:hAnsi="方正仿宋_GB18030" w:eastAsia="方正仿宋_GB18030" w:cs="方正仿宋_GB18030"/>
          <w:color w:val="auto"/>
          <w:sz w:val="32"/>
          <w:szCs w:val="32"/>
        </w:rPr>
        <w:t>2. 材料造假直接取消资格。</w:t>
      </w:r>
    </w:p>
    <w:p w14:paraId="3F117C2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4D33D4A2-A74D-4718-A9D2-8831D11B62C8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0679DF82-51E3-4B04-96FC-37974B432749}"/>
  </w:font>
  <w:font w:name="方正仿宋_GB18030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D9E4F102-3712-42A0-A4A2-CDD94E051383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380AB07"/>
    <w:multiLevelType w:val="singleLevel"/>
    <w:tmpl w:val="F380AB07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1C6CB400"/>
    <w:multiLevelType w:val="singleLevel"/>
    <w:tmpl w:val="1C6CB400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70825BEF"/>
    <w:multiLevelType w:val="singleLevel"/>
    <w:tmpl w:val="70825BEF"/>
    <w:lvl w:ilvl="0" w:tentative="0">
      <w:start w:val="1"/>
      <w:numFmt w:val="decimal"/>
      <w:suff w:val="space"/>
      <w:lvlText w:val="%1.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92666F"/>
    <w:rsid w:val="58926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2025-09-04T10:49:00Z</dcterms:created>
  <dc:creator>狗与少年</dc:creator>
  <cp:lastModifiedBy>狗与少年</cp:lastModifiedBy>
  <dcterms:modified xsi:type="dcterms:W3CDTF">2025-09-04T10:49:55Z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F907675133C44175B2F1894C936FEC19_11</vt:lpwstr>
  </property>
  <property fmtid="{D5CDD505-2E9C-101B-9397-08002B2CF9AE}" pid="4" name="KSOTemplateDocerSaveRecord">
    <vt:lpwstr>eyJoZGlkIjoiNDI5OTFmZDg5ZjEwM2RlYTVjYjFhM2JjMjlhNzE2NjUiLCJ1c2VySWQiOiIzNzg0ODE5NDcifQ==</vt:lpwstr>
  </property>
</Properties>
</file>