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9" w:lineRule="auto"/>
        <w:jc w:val="center"/>
        <w:rPr>
          <w:color w:val="auto"/>
        </w:rPr>
      </w:pPr>
      <w:r>
        <w:rPr>
          <w:rFonts w:hint="eastAsia" w:ascii="SimHei, STHeiti" w:hAnsi="SimHei, STHeiti" w:eastAsia="宋体"/>
          <w:b/>
          <w:color w:val="auto"/>
          <w:sz w:val="44"/>
          <w:lang w:val="en-US" w:eastAsia="zh-CN"/>
        </w:rPr>
        <w:t>比选</w:t>
      </w:r>
      <w:r>
        <w:rPr>
          <w:rFonts w:hint="eastAsia" w:ascii="SimHei, STHeiti" w:hAnsi="SimHei, STHeiti" w:eastAsia="SimHei, STHeiti"/>
          <w:b/>
          <w:color w:val="auto"/>
          <w:sz w:val="44"/>
        </w:rPr>
        <w:t>方法、步骤及标准</w:t>
      </w:r>
    </w:p>
    <w:p>
      <w:pPr>
        <w:spacing w:line="439" w:lineRule="auto"/>
        <w:ind w:firstLineChars="192"/>
        <w:rPr>
          <w:color w:val="auto"/>
        </w:rPr>
      </w:pPr>
      <w:r>
        <w:rPr>
          <w:rFonts w:hint="eastAsia"/>
          <w:color w:val="auto"/>
          <w:sz w:val="28"/>
        </w:rPr>
        <w:t>依据本</w:t>
      </w:r>
      <w:r>
        <w:rPr>
          <w:rFonts w:hint="eastAsia"/>
          <w:color w:val="auto"/>
          <w:sz w:val="28"/>
          <w:lang w:val="en-US" w:eastAsia="zh-CN"/>
        </w:rPr>
        <w:t>校</w:t>
      </w:r>
      <w:r>
        <w:rPr>
          <w:rFonts w:hint="eastAsia"/>
          <w:color w:val="auto"/>
          <w:sz w:val="28"/>
        </w:rPr>
        <w:t>实际情况，确定以下</w:t>
      </w:r>
      <w:r>
        <w:rPr>
          <w:rFonts w:hint="eastAsia"/>
          <w:color w:val="auto"/>
          <w:sz w:val="28"/>
          <w:lang w:val="en-US" w:eastAsia="zh-CN"/>
        </w:rPr>
        <w:t>比选</w:t>
      </w:r>
      <w:r>
        <w:rPr>
          <w:rFonts w:hint="eastAsia"/>
          <w:color w:val="auto"/>
          <w:sz w:val="28"/>
        </w:rPr>
        <w:t>办法、步骤及标准。</w:t>
      </w:r>
    </w:p>
    <w:p>
      <w:pPr>
        <w:spacing w:line="439" w:lineRule="auto"/>
        <w:ind w:firstLineChars="192"/>
        <w:rPr>
          <w:color w:val="auto"/>
        </w:rPr>
      </w:pPr>
      <w:r>
        <w:rPr>
          <w:rFonts w:hint="eastAsia"/>
          <w:color w:val="auto"/>
          <w:sz w:val="28"/>
        </w:rPr>
        <w:t>一、</w:t>
      </w:r>
      <w:r>
        <w:rPr>
          <w:rFonts w:hint="eastAsia"/>
          <w:color w:val="auto"/>
          <w:sz w:val="28"/>
          <w:lang w:val="en-US" w:eastAsia="zh-CN"/>
        </w:rPr>
        <w:t>比选</w:t>
      </w:r>
      <w:r>
        <w:rPr>
          <w:rFonts w:hint="eastAsia"/>
          <w:color w:val="auto"/>
          <w:sz w:val="28"/>
        </w:rPr>
        <w:t>方法</w:t>
      </w:r>
    </w:p>
    <w:p>
      <w:pPr>
        <w:spacing w:line="439" w:lineRule="auto"/>
        <w:ind w:firstLineChars="192"/>
        <w:rPr>
          <w:color w:val="auto"/>
        </w:rPr>
      </w:pPr>
      <w:r>
        <w:rPr>
          <w:rFonts w:hint="eastAsia"/>
          <w:color w:val="auto"/>
          <w:sz w:val="28"/>
        </w:rPr>
        <w:t>本项目采用综合评分法，其中价格50分，商务技术服务50分。</w:t>
      </w:r>
      <w:bookmarkStart w:id="0" w:name="_GoBack"/>
      <w:bookmarkEnd w:id="0"/>
    </w:p>
    <w:p>
      <w:pPr>
        <w:spacing w:line="439" w:lineRule="auto"/>
        <w:ind w:firstLineChars="192"/>
        <w:rPr>
          <w:color w:val="auto"/>
        </w:rPr>
      </w:pPr>
      <w:r>
        <w:rPr>
          <w:rFonts w:hint="eastAsia"/>
          <w:color w:val="auto"/>
          <w:sz w:val="28"/>
        </w:rPr>
        <w:t>二、</w:t>
      </w:r>
      <w:r>
        <w:rPr>
          <w:rFonts w:hint="eastAsia"/>
          <w:color w:val="auto"/>
          <w:sz w:val="28"/>
          <w:lang w:eastAsia="zh-CN"/>
        </w:rPr>
        <w:t>比选</w:t>
      </w:r>
      <w:r>
        <w:rPr>
          <w:rFonts w:hint="eastAsia"/>
          <w:color w:val="auto"/>
          <w:sz w:val="28"/>
        </w:rPr>
        <w:t>步骤</w:t>
      </w:r>
    </w:p>
    <w:p>
      <w:pPr>
        <w:spacing w:line="439" w:lineRule="auto"/>
        <w:ind w:firstLineChars="192"/>
        <w:rPr>
          <w:color w:val="auto"/>
        </w:rPr>
      </w:pPr>
      <w:r>
        <w:rPr>
          <w:rFonts w:hint="eastAsia"/>
          <w:color w:val="auto"/>
          <w:sz w:val="28"/>
          <w:lang w:eastAsia="zh-CN"/>
        </w:rPr>
        <w:t>比选</w:t>
      </w:r>
      <w:r>
        <w:rPr>
          <w:rFonts w:hint="eastAsia"/>
          <w:color w:val="auto"/>
          <w:sz w:val="28"/>
        </w:rPr>
        <w:t>小组对投标文件的评审分为商务技术服务评议和价格评议；</w:t>
      </w:r>
    </w:p>
    <w:p>
      <w:pPr>
        <w:spacing w:line="439" w:lineRule="auto"/>
        <w:ind w:firstLineChars="192"/>
        <w:rPr>
          <w:color w:val="auto"/>
        </w:rPr>
      </w:pPr>
      <w:r>
        <w:rPr>
          <w:rFonts w:hint="eastAsia"/>
          <w:color w:val="auto"/>
          <w:sz w:val="28"/>
        </w:rPr>
        <w:t>（一）资格和符合性检查</w:t>
      </w:r>
    </w:p>
    <w:p>
      <w:pPr>
        <w:spacing w:line="439" w:lineRule="auto"/>
        <w:ind w:firstLineChars="192"/>
        <w:rPr>
          <w:color w:val="auto"/>
        </w:rPr>
      </w:pPr>
      <w:r>
        <w:rPr>
          <w:rFonts w:hint="eastAsia"/>
          <w:color w:val="auto"/>
          <w:sz w:val="28"/>
          <w:lang w:val="en-US" w:eastAsia="zh-CN"/>
        </w:rPr>
        <w:t>评审</w:t>
      </w:r>
      <w:r>
        <w:rPr>
          <w:rFonts w:hint="eastAsia"/>
          <w:color w:val="auto"/>
          <w:sz w:val="28"/>
        </w:rPr>
        <w:t>小组要审查每份</w:t>
      </w:r>
      <w:r>
        <w:rPr>
          <w:rFonts w:hint="eastAsia"/>
          <w:color w:val="auto"/>
          <w:sz w:val="28"/>
          <w:lang w:val="en-US" w:eastAsia="zh-CN"/>
        </w:rPr>
        <w:t>比选</w:t>
      </w:r>
      <w:r>
        <w:rPr>
          <w:rFonts w:hint="eastAsia"/>
          <w:color w:val="auto"/>
          <w:sz w:val="28"/>
        </w:rPr>
        <w:t>文件是否实质上响应了</w:t>
      </w:r>
      <w:r>
        <w:rPr>
          <w:rFonts w:hint="eastAsia"/>
          <w:color w:val="auto"/>
          <w:sz w:val="28"/>
          <w:lang w:val="en-US" w:eastAsia="zh-CN"/>
        </w:rPr>
        <w:t>比选</w:t>
      </w:r>
      <w:r>
        <w:rPr>
          <w:rFonts w:hint="eastAsia"/>
          <w:color w:val="auto"/>
          <w:sz w:val="28"/>
        </w:rPr>
        <w:t>文件的要求。实质上响应的</w:t>
      </w:r>
      <w:r>
        <w:rPr>
          <w:rFonts w:hint="eastAsia"/>
          <w:color w:val="auto"/>
          <w:sz w:val="28"/>
          <w:lang w:val="en-US" w:eastAsia="zh-CN"/>
        </w:rPr>
        <w:t>比选文件</w:t>
      </w:r>
      <w:r>
        <w:rPr>
          <w:rFonts w:hint="eastAsia"/>
          <w:color w:val="auto"/>
          <w:sz w:val="28"/>
        </w:rPr>
        <w:t>应该是与</w:t>
      </w:r>
      <w:r>
        <w:rPr>
          <w:rFonts w:hint="eastAsia"/>
          <w:color w:val="auto"/>
          <w:sz w:val="28"/>
          <w:lang w:val="en-US" w:eastAsia="zh-CN"/>
        </w:rPr>
        <w:t>比选公告</w:t>
      </w:r>
      <w:r>
        <w:rPr>
          <w:rFonts w:hint="eastAsia"/>
          <w:color w:val="auto"/>
          <w:sz w:val="28"/>
        </w:rPr>
        <w:t>要求的关键条款、条件和规格相符，没有重大偏离。对关键条文的偏离、保留或反对将被认为是实质上的偏离。</w:t>
      </w:r>
      <w:r>
        <w:rPr>
          <w:rFonts w:hint="eastAsia"/>
          <w:color w:val="auto"/>
          <w:sz w:val="28"/>
          <w:lang w:val="en-US" w:eastAsia="zh-CN"/>
        </w:rPr>
        <w:t>评审</w:t>
      </w:r>
      <w:r>
        <w:rPr>
          <w:rFonts w:hint="eastAsia"/>
          <w:color w:val="auto"/>
          <w:sz w:val="28"/>
        </w:rPr>
        <w:t>小组决定</w:t>
      </w:r>
      <w:r>
        <w:rPr>
          <w:rFonts w:hint="eastAsia"/>
          <w:color w:val="auto"/>
          <w:sz w:val="28"/>
          <w:lang w:val="en-US" w:eastAsia="zh-CN"/>
        </w:rPr>
        <w:t>参与比选</w:t>
      </w:r>
      <w:r>
        <w:rPr>
          <w:rFonts w:hint="eastAsia"/>
          <w:color w:val="auto"/>
          <w:sz w:val="28"/>
        </w:rPr>
        <w:t>的响应性只根据</w:t>
      </w:r>
      <w:r>
        <w:rPr>
          <w:rFonts w:hint="eastAsia"/>
          <w:color w:val="auto"/>
          <w:sz w:val="28"/>
          <w:lang w:val="en-US" w:eastAsia="zh-CN"/>
        </w:rPr>
        <w:t>递交的比选</w:t>
      </w:r>
      <w:r>
        <w:rPr>
          <w:rFonts w:hint="eastAsia"/>
          <w:color w:val="auto"/>
          <w:sz w:val="28"/>
        </w:rPr>
        <w:t>文件本身的真实无误的内容，而不依据外部的证据，但</w:t>
      </w:r>
      <w:r>
        <w:rPr>
          <w:rFonts w:hint="eastAsia"/>
          <w:color w:val="auto"/>
          <w:sz w:val="28"/>
          <w:lang w:val="en-US" w:eastAsia="zh-CN"/>
        </w:rPr>
        <w:t>比选</w:t>
      </w:r>
      <w:r>
        <w:rPr>
          <w:rFonts w:hint="eastAsia"/>
          <w:color w:val="auto"/>
          <w:sz w:val="28"/>
        </w:rPr>
        <w:t>文件有不真实不正确的内容时除外。检查</w:t>
      </w:r>
      <w:r>
        <w:rPr>
          <w:rFonts w:hint="eastAsia"/>
          <w:color w:val="auto"/>
          <w:sz w:val="28"/>
          <w:lang w:val="en-US" w:eastAsia="zh-CN"/>
        </w:rPr>
        <w:t>比选</w:t>
      </w:r>
      <w:r>
        <w:rPr>
          <w:rFonts w:hint="eastAsia"/>
          <w:color w:val="auto"/>
          <w:sz w:val="28"/>
        </w:rPr>
        <w:t>文件是否符合以下条件，对于不符合条件的投标将视作为无效投标：</w:t>
      </w:r>
    </w:p>
    <w:p>
      <w:pPr>
        <w:spacing w:line="439" w:lineRule="auto"/>
        <w:ind w:firstLineChars="192"/>
        <w:rPr>
          <w:color w:val="auto"/>
        </w:rPr>
      </w:pPr>
      <w:r>
        <w:rPr>
          <w:rFonts w:hint="eastAsia"/>
          <w:color w:val="auto"/>
          <w:sz w:val="28"/>
        </w:rPr>
        <w:t>1）</w:t>
      </w:r>
      <w:r>
        <w:rPr>
          <w:rFonts w:hint="eastAsia"/>
          <w:color w:val="auto"/>
          <w:sz w:val="28"/>
          <w:lang w:val="en-US" w:eastAsia="zh-CN"/>
        </w:rPr>
        <w:t>参与比选</w:t>
      </w:r>
      <w:r>
        <w:rPr>
          <w:rFonts w:hint="eastAsia"/>
          <w:color w:val="auto"/>
          <w:sz w:val="28"/>
        </w:rPr>
        <w:t>人的资格不符合投标文件的规定的；</w:t>
      </w:r>
    </w:p>
    <w:p>
      <w:pPr>
        <w:spacing w:line="439" w:lineRule="auto"/>
        <w:ind w:firstLineChars="192"/>
        <w:rPr>
          <w:color w:val="auto"/>
        </w:rPr>
      </w:pPr>
      <w:r>
        <w:rPr>
          <w:rFonts w:hint="eastAsia"/>
          <w:color w:val="auto"/>
          <w:sz w:val="28"/>
        </w:rPr>
        <w:t>2）</w:t>
      </w:r>
      <w:r>
        <w:rPr>
          <w:rFonts w:hint="eastAsia"/>
          <w:color w:val="auto"/>
          <w:sz w:val="28"/>
          <w:lang w:val="en-US" w:eastAsia="zh-CN"/>
        </w:rPr>
        <w:t>参与比选</w:t>
      </w:r>
      <w:r>
        <w:rPr>
          <w:rFonts w:hint="eastAsia"/>
          <w:color w:val="auto"/>
          <w:sz w:val="28"/>
        </w:rPr>
        <w:t>人的</w:t>
      </w:r>
      <w:r>
        <w:rPr>
          <w:rFonts w:hint="eastAsia"/>
          <w:color w:val="auto"/>
          <w:sz w:val="28"/>
          <w:lang w:val="en-US" w:eastAsia="zh-CN"/>
        </w:rPr>
        <w:t>比选</w:t>
      </w:r>
      <w:r>
        <w:rPr>
          <w:rFonts w:hint="eastAsia"/>
          <w:color w:val="auto"/>
          <w:sz w:val="28"/>
        </w:rPr>
        <w:t>文件或资格证明文件未提供或不符合</w:t>
      </w:r>
      <w:r>
        <w:rPr>
          <w:rFonts w:hint="eastAsia"/>
          <w:color w:val="auto"/>
          <w:sz w:val="28"/>
          <w:lang w:val="en-US" w:eastAsia="zh-CN"/>
        </w:rPr>
        <w:t>比选公告</w:t>
      </w:r>
      <w:r>
        <w:rPr>
          <w:rFonts w:hint="eastAsia"/>
          <w:color w:val="auto"/>
          <w:sz w:val="28"/>
        </w:rPr>
        <w:t>要求的；</w:t>
      </w:r>
    </w:p>
    <w:p>
      <w:pPr>
        <w:spacing w:line="439" w:lineRule="auto"/>
        <w:ind w:firstLineChars="192"/>
        <w:rPr>
          <w:color w:val="auto"/>
        </w:rPr>
      </w:pPr>
      <w:r>
        <w:rPr>
          <w:rFonts w:hint="eastAsia"/>
          <w:color w:val="auto"/>
          <w:sz w:val="28"/>
        </w:rPr>
        <w:t>3）超出经营范围</w:t>
      </w:r>
      <w:r>
        <w:rPr>
          <w:rFonts w:hint="eastAsia"/>
          <w:color w:val="auto"/>
          <w:sz w:val="28"/>
          <w:lang w:val="en-US" w:eastAsia="zh-CN"/>
        </w:rPr>
        <w:t>比选</w:t>
      </w:r>
      <w:r>
        <w:rPr>
          <w:rFonts w:hint="eastAsia"/>
          <w:color w:val="auto"/>
          <w:sz w:val="28"/>
        </w:rPr>
        <w:t>的；</w:t>
      </w:r>
    </w:p>
    <w:p>
      <w:pPr>
        <w:spacing w:line="439" w:lineRule="auto"/>
        <w:ind w:firstLineChars="192"/>
        <w:rPr>
          <w:color w:val="auto"/>
        </w:rPr>
      </w:pPr>
      <w:r>
        <w:rPr>
          <w:rFonts w:hint="eastAsia"/>
          <w:color w:val="auto"/>
          <w:sz w:val="28"/>
        </w:rPr>
        <w:t>4）</w:t>
      </w:r>
      <w:r>
        <w:rPr>
          <w:rFonts w:hint="eastAsia"/>
          <w:color w:val="auto"/>
          <w:sz w:val="28"/>
          <w:lang w:val="en-US" w:eastAsia="zh-CN"/>
        </w:rPr>
        <w:t>比选</w:t>
      </w:r>
      <w:r>
        <w:rPr>
          <w:rFonts w:hint="eastAsia"/>
          <w:color w:val="auto"/>
          <w:sz w:val="28"/>
        </w:rPr>
        <w:t>文件无法定代表人签字或签字人无法定代表人有效授权的；</w:t>
      </w:r>
    </w:p>
    <w:p>
      <w:pPr>
        <w:spacing w:line="439" w:lineRule="auto"/>
        <w:ind w:firstLineChars="192"/>
        <w:rPr>
          <w:color w:val="auto"/>
        </w:rPr>
      </w:pPr>
      <w:r>
        <w:rPr>
          <w:rFonts w:hint="eastAsia"/>
          <w:color w:val="auto"/>
          <w:sz w:val="28"/>
        </w:rPr>
        <w:t>5）</w:t>
      </w:r>
      <w:r>
        <w:rPr>
          <w:rFonts w:hint="eastAsia"/>
          <w:color w:val="auto"/>
          <w:sz w:val="28"/>
          <w:lang w:val="en-US" w:eastAsia="zh-CN"/>
        </w:rPr>
        <w:t>比选</w:t>
      </w:r>
      <w:r>
        <w:rPr>
          <w:rFonts w:hint="eastAsia"/>
          <w:color w:val="auto"/>
          <w:sz w:val="28"/>
        </w:rPr>
        <w:t>有效期不足的；</w:t>
      </w:r>
    </w:p>
    <w:p>
      <w:pPr>
        <w:spacing w:line="439" w:lineRule="auto"/>
        <w:ind w:firstLineChars="192"/>
        <w:rPr>
          <w:color w:val="auto"/>
        </w:rPr>
      </w:pPr>
      <w:r>
        <w:rPr>
          <w:rFonts w:hint="eastAsia"/>
          <w:color w:val="auto"/>
          <w:sz w:val="28"/>
        </w:rPr>
        <w:t>6）有不良经济纠纷记录和违法行为的；</w:t>
      </w:r>
    </w:p>
    <w:p>
      <w:pPr>
        <w:spacing w:line="439" w:lineRule="auto"/>
        <w:ind w:firstLineChars="192"/>
        <w:rPr>
          <w:color w:val="auto"/>
        </w:rPr>
      </w:pPr>
      <w:r>
        <w:rPr>
          <w:rFonts w:hint="eastAsia"/>
          <w:color w:val="auto"/>
          <w:sz w:val="28"/>
        </w:rPr>
        <w:t>7）</w:t>
      </w:r>
      <w:r>
        <w:rPr>
          <w:rFonts w:hint="eastAsia"/>
          <w:color w:val="auto"/>
          <w:sz w:val="28"/>
          <w:lang w:val="en-US" w:eastAsia="zh-CN"/>
        </w:rPr>
        <w:t>参与比选的</w:t>
      </w:r>
      <w:r>
        <w:rPr>
          <w:rFonts w:hint="eastAsia"/>
          <w:color w:val="auto"/>
          <w:sz w:val="28"/>
        </w:rPr>
        <w:t>内容或付款方式不能满足</w:t>
      </w:r>
      <w:r>
        <w:rPr>
          <w:rFonts w:hint="eastAsia"/>
          <w:color w:val="auto"/>
          <w:sz w:val="28"/>
          <w:lang w:val="en-US" w:eastAsia="zh-CN"/>
        </w:rPr>
        <w:t>比选公告</w:t>
      </w:r>
      <w:r>
        <w:rPr>
          <w:rFonts w:hint="eastAsia"/>
          <w:color w:val="auto"/>
          <w:sz w:val="28"/>
        </w:rPr>
        <w:t>要求的；</w:t>
      </w:r>
    </w:p>
    <w:p>
      <w:pPr>
        <w:spacing w:line="439" w:lineRule="auto"/>
        <w:ind w:firstLineChars="192"/>
        <w:rPr>
          <w:color w:val="auto"/>
        </w:rPr>
      </w:pPr>
      <w:r>
        <w:rPr>
          <w:rFonts w:hint="eastAsia"/>
          <w:color w:val="auto"/>
          <w:sz w:val="28"/>
        </w:rPr>
        <w:t>（二）商务技术服务评议（50分）</w:t>
      </w:r>
    </w:p>
    <w:p>
      <w:pPr>
        <w:spacing w:line="439" w:lineRule="auto"/>
        <w:ind w:firstLineChars="192"/>
        <w:rPr>
          <w:color w:val="auto"/>
        </w:rPr>
      </w:pPr>
      <w:r>
        <w:rPr>
          <w:rFonts w:hint="eastAsia"/>
          <w:color w:val="auto"/>
          <w:sz w:val="28"/>
          <w:lang w:val="en-US" w:eastAsia="zh-CN"/>
        </w:rPr>
        <w:t>评审</w:t>
      </w:r>
      <w:r>
        <w:rPr>
          <w:rFonts w:hint="eastAsia"/>
          <w:color w:val="auto"/>
          <w:sz w:val="28"/>
        </w:rPr>
        <w:t>小组只对确定资格和符合性检查合格的投标文件进行商务评议，并依据“</w:t>
      </w:r>
      <w:r>
        <w:rPr>
          <w:rFonts w:hint="eastAsia"/>
          <w:color w:val="auto"/>
          <w:sz w:val="28"/>
          <w:lang w:eastAsia="zh-CN"/>
        </w:rPr>
        <w:t>比选</w:t>
      </w:r>
      <w:r>
        <w:rPr>
          <w:rFonts w:hint="eastAsia"/>
          <w:color w:val="auto"/>
          <w:sz w:val="28"/>
        </w:rPr>
        <w:t>标准”中的分值进行评分，评价考虑因素。</w:t>
      </w:r>
    </w:p>
    <w:p>
      <w:pPr>
        <w:spacing w:line="439" w:lineRule="auto"/>
        <w:ind w:firstLineChars="192"/>
        <w:rPr>
          <w:color w:val="auto"/>
        </w:rPr>
      </w:pPr>
      <w:r>
        <w:rPr>
          <w:rFonts w:hint="eastAsia"/>
          <w:color w:val="auto"/>
          <w:sz w:val="28"/>
        </w:rPr>
        <w:t>（三）价格评议（50分）</w:t>
      </w:r>
    </w:p>
    <w:p>
      <w:pPr>
        <w:spacing w:line="439" w:lineRule="auto"/>
        <w:ind w:firstLineChars="200"/>
        <w:jc w:val="both"/>
        <w:rPr>
          <w:color w:val="auto"/>
        </w:rPr>
      </w:pPr>
      <w:r>
        <w:rPr>
          <w:rFonts w:hint="eastAsia"/>
          <w:color w:val="auto"/>
          <w:sz w:val="28"/>
        </w:rPr>
        <w:t>各</w:t>
      </w:r>
      <w:r>
        <w:rPr>
          <w:rFonts w:hint="eastAsia"/>
          <w:color w:val="auto"/>
          <w:sz w:val="28"/>
          <w:lang w:val="en-US" w:eastAsia="zh-CN"/>
        </w:rPr>
        <w:t>参与比选</w:t>
      </w:r>
      <w:r>
        <w:rPr>
          <w:rFonts w:hint="eastAsia"/>
          <w:color w:val="auto"/>
          <w:sz w:val="28"/>
        </w:rPr>
        <w:t>人</w:t>
      </w:r>
      <w:r>
        <w:rPr>
          <w:rFonts w:hint="eastAsia"/>
          <w:color w:val="auto"/>
          <w:sz w:val="28"/>
          <w:lang w:val="en-US" w:eastAsia="zh-CN"/>
        </w:rPr>
        <w:t>比选</w:t>
      </w:r>
      <w:r>
        <w:rPr>
          <w:rFonts w:hint="eastAsia"/>
          <w:color w:val="auto"/>
          <w:sz w:val="28"/>
        </w:rPr>
        <w:t>报价得分计算：</w:t>
      </w:r>
    </w:p>
    <w:p>
      <w:pPr>
        <w:spacing w:line="439" w:lineRule="auto"/>
        <w:ind w:firstLineChars="200"/>
        <w:jc w:val="both"/>
        <w:rPr>
          <w:color w:val="auto"/>
        </w:rPr>
      </w:pPr>
      <w:r>
        <w:rPr>
          <w:rFonts w:hint="eastAsia"/>
          <w:color w:val="auto"/>
          <w:sz w:val="28"/>
        </w:rPr>
        <w:t>1. 平均</w:t>
      </w:r>
      <w:r>
        <w:rPr>
          <w:rFonts w:hint="eastAsia"/>
          <w:color w:val="auto"/>
          <w:sz w:val="28"/>
          <w:lang w:val="en-US" w:eastAsia="zh-CN"/>
        </w:rPr>
        <w:t>比选报</w:t>
      </w:r>
      <w:r>
        <w:rPr>
          <w:rFonts w:hint="eastAsia"/>
          <w:color w:val="auto"/>
          <w:sz w:val="28"/>
        </w:rPr>
        <w:t>价的计算原则：所有有效</w:t>
      </w:r>
      <w:r>
        <w:rPr>
          <w:rFonts w:hint="eastAsia"/>
          <w:color w:val="auto"/>
          <w:sz w:val="28"/>
          <w:lang w:val="en-US" w:eastAsia="zh-CN"/>
        </w:rPr>
        <w:t>比选</w:t>
      </w:r>
      <w:r>
        <w:rPr>
          <w:rFonts w:hint="eastAsia"/>
          <w:color w:val="auto"/>
          <w:sz w:val="28"/>
        </w:rPr>
        <w:t>报价的算术平均值（以元为单位，采用四舍五入的方法精确至小数点后二位）</w:t>
      </w:r>
    </w:p>
    <w:p>
      <w:pPr>
        <w:spacing w:line="439" w:lineRule="auto"/>
        <w:ind w:firstLineChars="200"/>
        <w:jc w:val="both"/>
        <w:rPr>
          <w:color w:val="auto"/>
        </w:rPr>
      </w:pPr>
      <w:r>
        <w:rPr>
          <w:rFonts w:hint="eastAsia"/>
          <w:color w:val="auto"/>
          <w:sz w:val="28"/>
        </w:rPr>
        <w:t>2. 各</w:t>
      </w:r>
      <w:r>
        <w:rPr>
          <w:rFonts w:hint="eastAsia"/>
          <w:color w:val="auto"/>
          <w:sz w:val="28"/>
          <w:lang w:val="en-US" w:eastAsia="zh-CN"/>
        </w:rPr>
        <w:t>比选</w:t>
      </w:r>
      <w:r>
        <w:rPr>
          <w:rFonts w:hint="eastAsia"/>
          <w:color w:val="auto"/>
          <w:sz w:val="28"/>
        </w:rPr>
        <w:t>人的</w:t>
      </w:r>
      <w:r>
        <w:rPr>
          <w:rFonts w:hint="eastAsia"/>
          <w:color w:val="auto"/>
          <w:sz w:val="28"/>
          <w:lang w:val="en-US" w:eastAsia="zh-CN"/>
        </w:rPr>
        <w:t>比选</w:t>
      </w:r>
      <w:r>
        <w:rPr>
          <w:rFonts w:hint="eastAsia"/>
          <w:color w:val="auto"/>
          <w:sz w:val="28"/>
        </w:rPr>
        <w:t>报价得分：将各</w:t>
      </w:r>
      <w:r>
        <w:rPr>
          <w:rFonts w:hint="eastAsia"/>
          <w:color w:val="auto"/>
          <w:sz w:val="28"/>
          <w:lang w:val="en-US" w:eastAsia="zh-CN"/>
        </w:rPr>
        <w:t>比选</w:t>
      </w:r>
      <w:r>
        <w:rPr>
          <w:rFonts w:hint="eastAsia"/>
          <w:color w:val="auto"/>
          <w:sz w:val="28"/>
        </w:rPr>
        <w:t>人的</w:t>
      </w:r>
      <w:r>
        <w:rPr>
          <w:rFonts w:hint="eastAsia"/>
          <w:color w:val="auto"/>
          <w:sz w:val="28"/>
          <w:lang w:val="en-US" w:eastAsia="zh-CN"/>
        </w:rPr>
        <w:t>比选</w:t>
      </w:r>
      <w:r>
        <w:rPr>
          <w:rFonts w:hint="eastAsia"/>
          <w:color w:val="auto"/>
          <w:sz w:val="28"/>
        </w:rPr>
        <w:t>报价与平均</w:t>
      </w:r>
      <w:r>
        <w:rPr>
          <w:rFonts w:hint="eastAsia"/>
          <w:color w:val="auto"/>
          <w:sz w:val="28"/>
          <w:lang w:val="en-US" w:eastAsia="zh-CN"/>
        </w:rPr>
        <w:t>比选</w:t>
      </w:r>
      <w:r>
        <w:rPr>
          <w:rFonts w:hint="eastAsia"/>
          <w:color w:val="auto"/>
          <w:sz w:val="28"/>
        </w:rPr>
        <w:t>价相比较（采用四舍五入的方法精确至小数点后三位），每上升1%扣1分，每下降1%扣0.5分，扣完为止，不足1%的按直线插入法计算。</w:t>
      </w:r>
    </w:p>
    <w:p>
      <w:pPr>
        <w:spacing w:line="439" w:lineRule="auto"/>
        <w:jc w:val="both"/>
        <w:rPr>
          <w:color w:val="auto"/>
        </w:rPr>
      </w:pPr>
      <w:r>
        <w:rPr>
          <w:rFonts w:hint="eastAsia"/>
          <w:color w:val="auto"/>
          <w:sz w:val="28"/>
        </w:rPr>
        <w:t>① 当</w:t>
      </w:r>
      <w:r>
        <w:rPr>
          <w:rFonts w:hint="eastAsia"/>
          <w:color w:val="auto"/>
          <w:sz w:val="28"/>
          <w:lang w:val="en-US" w:eastAsia="zh-CN"/>
        </w:rPr>
        <w:t>比选</w:t>
      </w:r>
      <w:r>
        <w:rPr>
          <w:rFonts w:hint="eastAsia"/>
          <w:color w:val="auto"/>
          <w:sz w:val="28"/>
        </w:rPr>
        <w:t>人</w:t>
      </w:r>
      <w:r>
        <w:rPr>
          <w:rFonts w:hint="eastAsia"/>
          <w:color w:val="auto"/>
          <w:sz w:val="28"/>
          <w:lang w:val="en-US" w:eastAsia="zh-CN"/>
        </w:rPr>
        <w:t>比选</w:t>
      </w:r>
      <w:r>
        <w:rPr>
          <w:rFonts w:hint="eastAsia"/>
          <w:color w:val="auto"/>
          <w:sz w:val="28"/>
        </w:rPr>
        <w:t>报价大于平均</w:t>
      </w:r>
      <w:r>
        <w:rPr>
          <w:rFonts w:hint="eastAsia"/>
          <w:color w:val="auto"/>
          <w:sz w:val="28"/>
          <w:lang w:val="en-US" w:eastAsia="zh-CN"/>
        </w:rPr>
        <w:t>比选</w:t>
      </w:r>
      <w:r>
        <w:rPr>
          <w:rFonts w:hint="eastAsia"/>
          <w:color w:val="auto"/>
          <w:sz w:val="28"/>
        </w:rPr>
        <w:t>价时：</w:t>
      </w:r>
    </w:p>
    <w:p>
      <w:pPr>
        <w:spacing w:line="439" w:lineRule="auto"/>
        <w:jc w:val="both"/>
        <w:rPr>
          <w:color w:val="auto"/>
        </w:rPr>
      </w:pPr>
      <w:r>
        <w:rPr>
          <w:rFonts w:hint="eastAsia"/>
          <w:color w:val="auto"/>
          <w:sz w:val="28"/>
        </w:rPr>
        <w:t>50</w:t>
      </w:r>
      <w:r>
        <w:rPr>
          <w:rFonts w:hint="eastAsia"/>
          <w:color w:val="auto"/>
          <w:sz w:val="28"/>
        </w:rPr>
        <w:t>－（投标报价/平均投标价－1）×100×1</w:t>
      </w:r>
    </w:p>
    <w:p>
      <w:pPr>
        <w:spacing w:line="439" w:lineRule="auto"/>
        <w:jc w:val="both"/>
        <w:rPr>
          <w:color w:val="auto"/>
        </w:rPr>
      </w:pPr>
      <w:r>
        <w:rPr>
          <w:rFonts w:hint="eastAsia"/>
          <w:color w:val="auto"/>
          <w:sz w:val="28"/>
        </w:rPr>
        <w:t>② 当</w:t>
      </w:r>
      <w:r>
        <w:rPr>
          <w:rFonts w:hint="eastAsia"/>
          <w:color w:val="auto"/>
          <w:sz w:val="28"/>
          <w:lang w:val="en-US" w:eastAsia="zh-CN"/>
        </w:rPr>
        <w:t>比选</w:t>
      </w:r>
      <w:r>
        <w:rPr>
          <w:rFonts w:hint="eastAsia"/>
          <w:color w:val="auto"/>
          <w:sz w:val="28"/>
        </w:rPr>
        <w:t>人</w:t>
      </w:r>
      <w:r>
        <w:rPr>
          <w:rFonts w:hint="eastAsia"/>
          <w:color w:val="auto"/>
          <w:sz w:val="28"/>
          <w:lang w:val="en-US" w:eastAsia="zh-CN"/>
        </w:rPr>
        <w:t>比选</w:t>
      </w:r>
      <w:r>
        <w:rPr>
          <w:rFonts w:hint="eastAsia"/>
          <w:color w:val="auto"/>
          <w:sz w:val="28"/>
        </w:rPr>
        <w:t>报价低于平均</w:t>
      </w:r>
      <w:r>
        <w:rPr>
          <w:rFonts w:hint="eastAsia"/>
          <w:color w:val="auto"/>
          <w:sz w:val="28"/>
          <w:lang w:val="en-US" w:eastAsia="zh-CN"/>
        </w:rPr>
        <w:t>比选</w:t>
      </w:r>
      <w:r>
        <w:rPr>
          <w:rFonts w:hint="eastAsia"/>
          <w:color w:val="auto"/>
          <w:sz w:val="28"/>
        </w:rPr>
        <w:t>报价时：</w:t>
      </w:r>
    </w:p>
    <w:p>
      <w:pPr>
        <w:spacing w:line="439" w:lineRule="auto"/>
        <w:jc w:val="both"/>
        <w:rPr>
          <w:color w:val="auto"/>
        </w:rPr>
      </w:pPr>
      <w:r>
        <w:rPr>
          <w:rFonts w:hint="eastAsia"/>
          <w:color w:val="auto"/>
          <w:sz w:val="28"/>
        </w:rPr>
        <w:t>50</w:t>
      </w:r>
      <w:r>
        <w:rPr>
          <w:rFonts w:hint="eastAsia"/>
          <w:color w:val="auto"/>
          <w:sz w:val="28"/>
        </w:rPr>
        <w:t>－（</w:t>
      </w:r>
      <w:r>
        <w:rPr>
          <w:rFonts w:hint="eastAsia"/>
          <w:color w:val="auto"/>
          <w:sz w:val="28"/>
          <w:lang w:val="en-US" w:eastAsia="zh-CN"/>
        </w:rPr>
        <w:t>比选</w:t>
      </w:r>
      <w:r>
        <w:rPr>
          <w:rFonts w:hint="eastAsia"/>
          <w:color w:val="auto"/>
          <w:sz w:val="28"/>
        </w:rPr>
        <w:t>报价/平均</w:t>
      </w:r>
      <w:r>
        <w:rPr>
          <w:rFonts w:hint="eastAsia"/>
          <w:color w:val="auto"/>
          <w:sz w:val="28"/>
          <w:lang w:val="en-US" w:eastAsia="zh-CN"/>
        </w:rPr>
        <w:t>比选</w:t>
      </w:r>
      <w:r>
        <w:rPr>
          <w:rFonts w:hint="eastAsia"/>
          <w:color w:val="auto"/>
          <w:sz w:val="28"/>
        </w:rPr>
        <w:t>价－1）×（－100）×0.5</w:t>
      </w:r>
    </w:p>
    <w:p>
      <w:pPr>
        <w:spacing w:line="439" w:lineRule="auto"/>
        <w:ind w:firstLineChars="200"/>
        <w:jc w:val="both"/>
        <w:rPr>
          <w:color w:val="auto"/>
        </w:rPr>
      </w:pPr>
      <w:r>
        <w:rPr>
          <w:rFonts w:hint="eastAsia"/>
          <w:color w:val="auto"/>
          <w:sz w:val="28"/>
        </w:rPr>
        <w:t>说 明:</w:t>
      </w:r>
    </w:p>
    <w:p>
      <w:pPr>
        <w:spacing w:line="439" w:lineRule="auto"/>
        <w:ind w:firstLineChars="200"/>
        <w:jc w:val="both"/>
        <w:rPr>
          <w:color w:val="auto"/>
        </w:rPr>
      </w:pPr>
      <w:r>
        <w:rPr>
          <w:rFonts w:hint="eastAsia"/>
          <w:color w:val="auto"/>
          <w:sz w:val="28"/>
          <w:lang w:eastAsia="zh-CN"/>
        </w:rPr>
        <w:t>比选</w:t>
      </w:r>
      <w:r>
        <w:rPr>
          <w:rFonts w:hint="eastAsia"/>
          <w:color w:val="auto"/>
          <w:sz w:val="28"/>
        </w:rPr>
        <w:t>基准价为通过审核的有效</w:t>
      </w:r>
      <w:r>
        <w:rPr>
          <w:rFonts w:hint="eastAsia"/>
          <w:color w:val="auto"/>
          <w:sz w:val="28"/>
          <w:lang w:val="en-US" w:eastAsia="zh-CN"/>
        </w:rPr>
        <w:t>比选</w:t>
      </w:r>
      <w:r>
        <w:rPr>
          <w:rFonts w:hint="eastAsia"/>
          <w:color w:val="auto"/>
          <w:sz w:val="28"/>
        </w:rPr>
        <w:t>报价的平均值。</w:t>
      </w:r>
    </w:p>
    <w:p>
      <w:pPr>
        <w:spacing w:line="439" w:lineRule="auto"/>
        <w:ind w:firstLineChars="200"/>
        <w:jc w:val="both"/>
        <w:rPr>
          <w:color w:val="auto"/>
        </w:rPr>
      </w:pPr>
      <w:r>
        <w:rPr>
          <w:rFonts w:hint="eastAsia"/>
          <w:color w:val="auto"/>
          <w:sz w:val="28"/>
        </w:rPr>
        <w:t>以上计算均保留两位小数, 小数点后第三位四舍五入。</w:t>
      </w:r>
    </w:p>
    <w:p>
      <w:pPr>
        <w:spacing w:line="439" w:lineRule="auto"/>
        <w:ind w:firstLineChars="192"/>
        <w:rPr>
          <w:color w:val="auto"/>
        </w:rPr>
      </w:pPr>
      <w:r>
        <w:rPr>
          <w:rFonts w:hint="eastAsia"/>
          <w:color w:val="auto"/>
          <w:sz w:val="28"/>
        </w:rPr>
        <w:t>（四）推荐中标候选人</w:t>
      </w:r>
    </w:p>
    <w:p>
      <w:pPr>
        <w:spacing w:line="439" w:lineRule="auto"/>
        <w:ind w:firstLineChars="192"/>
        <w:rPr>
          <w:color w:val="auto"/>
        </w:rPr>
      </w:pPr>
      <w:r>
        <w:rPr>
          <w:rFonts w:hint="eastAsia"/>
          <w:color w:val="auto"/>
          <w:sz w:val="28"/>
          <w:lang w:val="en-US" w:eastAsia="zh-CN"/>
        </w:rPr>
        <w:t>评审</w:t>
      </w:r>
      <w:r>
        <w:rPr>
          <w:rFonts w:hint="eastAsia"/>
          <w:color w:val="auto"/>
          <w:sz w:val="28"/>
        </w:rPr>
        <w:t>委员会依据对各</w:t>
      </w:r>
      <w:r>
        <w:rPr>
          <w:rFonts w:hint="eastAsia"/>
          <w:color w:val="auto"/>
          <w:sz w:val="28"/>
          <w:lang w:val="en-US" w:eastAsia="zh-CN"/>
        </w:rPr>
        <w:t>比选</w:t>
      </w:r>
      <w:r>
        <w:rPr>
          <w:rFonts w:hint="eastAsia"/>
          <w:color w:val="auto"/>
          <w:sz w:val="28"/>
        </w:rPr>
        <w:t>文件的评审结果，提出书面</w:t>
      </w:r>
      <w:r>
        <w:rPr>
          <w:rFonts w:hint="eastAsia"/>
          <w:color w:val="auto"/>
          <w:sz w:val="28"/>
          <w:lang w:val="en-US" w:eastAsia="zh-CN"/>
        </w:rPr>
        <w:t>评审</w:t>
      </w:r>
      <w:r>
        <w:rPr>
          <w:rFonts w:hint="eastAsia"/>
          <w:color w:val="auto"/>
          <w:sz w:val="28"/>
        </w:rPr>
        <w:t>报告，并根据</w:t>
      </w:r>
      <w:r>
        <w:rPr>
          <w:rFonts w:hint="eastAsia"/>
          <w:color w:val="auto"/>
          <w:sz w:val="28"/>
          <w:lang w:val="en-US" w:eastAsia="zh-CN"/>
        </w:rPr>
        <w:t>比选公告</w:t>
      </w:r>
      <w:r>
        <w:rPr>
          <w:rFonts w:hint="eastAsia"/>
          <w:color w:val="auto"/>
          <w:sz w:val="28"/>
        </w:rPr>
        <w:t>的规定，按各</w:t>
      </w:r>
      <w:r>
        <w:rPr>
          <w:rFonts w:hint="eastAsia"/>
          <w:color w:val="auto"/>
          <w:sz w:val="28"/>
          <w:lang w:val="en-US" w:eastAsia="zh-CN"/>
        </w:rPr>
        <w:t>比选</w:t>
      </w:r>
      <w:r>
        <w:rPr>
          <w:rFonts w:hint="eastAsia"/>
          <w:color w:val="auto"/>
          <w:sz w:val="28"/>
        </w:rPr>
        <w:t>人的最终得分由高到低的顺序向采购人推荐得分最高的前三名为中标候选人，采购人按照有关规定确定排名第一的为中标供应商。</w:t>
      </w: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rFonts w:hint="eastAsia"/>
          <w:color w:val="auto"/>
          <w:sz w:val="28"/>
        </w:rPr>
      </w:pPr>
    </w:p>
    <w:p>
      <w:pPr>
        <w:spacing w:line="439" w:lineRule="auto"/>
        <w:ind w:firstLineChars="192"/>
        <w:rPr>
          <w:color w:val="auto"/>
        </w:rPr>
      </w:pPr>
      <w:r>
        <w:rPr>
          <w:rFonts w:hint="eastAsia"/>
          <w:color w:val="auto"/>
          <w:sz w:val="28"/>
        </w:rPr>
        <w:t>三、</w:t>
      </w:r>
      <w:r>
        <w:rPr>
          <w:rFonts w:hint="eastAsia"/>
          <w:color w:val="auto"/>
          <w:sz w:val="28"/>
          <w:lang w:val="en-US" w:eastAsia="zh-CN"/>
        </w:rPr>
        <w:t>评分</w:t>
      </w:r>
      <w:r>
        <w:rPr>
          <w:rFonts w:hint="eastAsia"/>
          <w:color w:val="auto"/>
          <w:sz w:val="28"/>
        </w:rPr>
        <w:t>标准</w:t>
      </w:r>
    </w:p>
    <w:p>
      <w:pPr>
        <w:spacing w:line="439" w:lineRule="auto"/>
        <w:ind w:firstLineChars="100"/>
        <w:jc w:val="both"/>
        <w:rPr>
          <w:color w:val="auto"/>
        </w:rPr>
      </w:pPr>
      <w:r>
        <w:rPr>
          <w:rFonts w:hint="eastAsia"/>
          <w:color w:val="auto"/>
          <w:sz w:val="28"/>
        </w:rPr>
        <w:t>商务评议（25分）</w:t>
      </w:r>
    </w:p>
    <w:tbl>
      <w:tblPr>
        <w:tblStyle w:val="11"/>
        <w:tblW w:w="9087" w:type="dxa"/>
        <w:tblInd w:w="0" w:type="dxa"/>
        <w:tblLayout w:type="autofit"/>
        <w:tblCellMar>
          <w:top w:w="0" w:type="dxa"/>
          <w:left w:w="108" w:type="dxa"/>
          <w:bottom w:w="0" w:type="dxa"/>
          <w:right w:w="108" w:type="dxa"/>
        </w:tblCellMar>
      </w:tblPr>
      <w:tblGrid>
        <w:gridCol w:w="496"/>
        <w:gridCol w:w="1146"/>
        <w:gridCol w:w="585"/>
        <w:gridCol w:w="6860"/>
      </w:tblGrid>
      <w:tr>
        <w:tblPrEx>
          <w:tblCellMar>
            <w:top w:w="0" w:type="dxa"/>
            <w:left w:w="108" w:type="dxa"/>
            <w:bottom w:w="0" w:type="dxa"/>
            <w:right w:w="108" w:type="dxa"/>
          </w:tblCellMar>
        </w:tblPrEx>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4"/>
              </w:rPr>
              <w:t>序号</w:t>
            </w:r>
          </w:p>
        </w:tc>
        <w:tc>
          <w:tcPr>
            <w:tcW w:w="1146"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4"/>
              </w:rPr>
              <w:t>评审因素</w:t>
            </w:r>
          </w:p>
        </w:tc>
        <w:tc>
          <w:tcPr>
            <w:tcW w:w="585"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4"/>
              </w:rPr>
              <w:t>分值</w:t>
            </w:r>
          </w:p>
        </w:tc>
        <w:tc>
          <w:tcPr>
            <w:tcW w:w="6860"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4"/>
              </w:rPr>
              <w:t>考评的主要内容（评分细则）</w:t>
            </w:r>
          </w:p>
        </w:tc>
      </w:tr>
      <w:tr>
        <w:tblPrEx>
          <w:tblCellMar>
            <w:top w:w="0" w:type="dxa"/>
            <w:left w:w="108" w:type="dxa"/>
            <w:bottom w:w="0" w:type="dxa"/>
            <w:right w:w="108" w:type="dxa"/>
          </w:tblCellMar>
        </w:tblPrEx>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1</w:t>
            </w:r>
          </w:p>
        </w:tc>
        <w:tc>
          <w:tcPr>
            <w:tcW w:w="1146" w:type="dxa"/>
            <w:tcBorders>
              <w:top w:val="single" w:color="EEEEEE" w:sz="6" w:space="0"/>
              <w:left w:val="single" w:color="EEEEEE" w:sz="6" w:space="0"/>
              <w:bottom w:val="single" w:color="EEEEEE" w:sz="6" w:space="0"/>
              <w:right w:val="single" w:color="EEEEEE" w:sz="6" w:space="0"/>
            </w:tcBorders>
          </w:tcPr>
          <w:p>
            <w:pPr>
              <w:spacing w:line="240" w:lineRule="auto"/>
              <w:rPr>
                <w:rFonts w:hint="default" w:eastAsia="等线"/>
                <w:color w:val="auto"/>
                <w:lang w:val="en-US" w:eastAsia="zh-CN"/>
              </w:rPr>
            </w:pPr>
            <w:r>
              <w:rPr>
                <w:rFonts w:hint="eastAsia"/>
                <w:color w:val="auto"/>
                <w:sz w:val="21"/>
                <w:lang w:val="en-US" w:eastAsia="zh-CN"/>
              </w:rPr>
              <w:t>投标品牌政府质量评定</w:t>
            </w:r>
          </w:p>
        </w:tc>
        <w:tc>
          <w:tcPr>
            <w:tcW w:w="585" w:type="dxa"/>
            <w:tcBorders>
              <w:top w:val="single" w:color="EEEEEE" w:sz="6" w:space="0"/>
              <w:left w:val="single" w:color="EEEEEE" w:sz="6" w:space="0"/>
              <w:bottom w:val="single" w:color="EEEEEE" w:sz="6" w:space="0"/>
              <w:right w:val="single" w:color="EEEEEE" w:sz="6" w:space="0"/>
            </w:tcBorders>
          </w:tcPr>
          <w:p>
            <w:pPr>
              <w:spacing w:line="240" w:lineRule="auto"/>
              <w:rPr>
                <w:rFonts w:hint="eastAsia" w:eastAsia="等线"/>
                <w:color w:val="auto"/>
                <w:lang w:val="en-US" w:eastAsia="zh-CN"/>
              </w:rPr>
            </w:pPr>
            <w:r>
              <w:rPr>
                <w:rFonts w:hint="eastAsia"/>
                <w:color w:val="auto"/>
                <w:lang w:val="en-US" w:eastAsia="zh-CN"/>
              </w:rPr>
              <w:t>4</w:t>
            </w:r>
          </w:p>
        </w:tc>
        <w:tc>
          <w:tcPr>
            <w:tcW w:w="6860" w:type="dxa"/>
            <w:tcBorders>
              <w:top w:val="single" w:color="EEEEEE" w:sz="6" w:space="0"/>
              <w:left w:val="single" w:color="EEEEEE" w:sz="6" w:space="0"/>
              <w:bottom w:val="single" w:color="EEEEEE" w:sz="6" w:space="0"/>
              <w:right w:val="single" w:color="EEEEEE" w:sz="6" w:space="0"/>
            </w:tcBorders>
          </w:tcPr>
          <w:p>
            <w:pPr>
              <w:spacing w:line="240" w:lineRule="auto"/>
              <w:rPr>
                <w:rFonts w:hint="default" w:eastAsia="宋体"/>
                <w:color w:val="auto"/>
                <w:lang w:val="en-US" w:eastAsia="zh-CN"/>
              </w:rPr>
            </w:pPr>
            <w:r>
              <w:rPr>
                <w:rFonts w:hint="eastAsia" w:ascii="&quot;Times New Roman&quot;" w:hAnsi="&quot;Times New Roman&quot;" w:eastAsia="宋体"/>
                <w:color w:val="auto"/>
                <w:sz w:val="21"/>
                <w:lang w:val="en-US" w:eastAsia="zh-CN"/>
              </w:rPr>
              <w:t>提供省级人民政府颁发的质量奖的得4分，市级人民政府颁发的质量奖的得2分。满分4分。提供省级或市级人民政府颁发的证书作为证明</w:t>
            </w:r>
          </w:p>
        </w:tc>
      </w:tr>
      <w:tr>
        <w:tblPrEx>
          <w:tblCellMar>
            <w:top w:w="0" w:type="dxa"/>
            <w:left w:w="108" w:type="dxa"/>
            <w:bottom w:w="0" w:type="dxa"/>
            <w:right w:w="108" w:type="dxa"/>
          </w:tblCellMar>
        </w:tblPrEx>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2</w:t>
            </w:r>
          </w:p>
        </w:tc>
        <w:tc>
          <w:tcPr>
            <w:tcW w:w="1146" w:type="dxa"/>
            <w:tcBorders>
              <w:top w:val="single" w:color="EEEEEE" w:sz="6" w:space="0"/>
              <w:left w:val="single" w:color="EEEEEE" w:sz="6" w:space="0"/>
              <w:bottom w:val="single" w:color="EEEEEE" w:sz="6" w:space="0"/>
              <w:right w:val="single" w:color="EEEEEE" w:sz="6" w:space="0"/>
            </w:tcBorders>
          </w:tcPr>
          <w:p>
            <w:pPr>
              <w:spacing w:line="240" w:lineRule="auto"/>
              <w:rPr>
                <w:rFonts w:hint="default" w:eastAsia="等线"/>
                <w:color w:val="auto"/>
                <w:lang w:val="en-US" w:eastAsia="zh-CN"/>
              </w:rPr>
            </w:pPr>
            <w:r>
              <w:rPr>
                <w:rFonts w:hint="eastAsia"/>
                <w:color w:val="auto"/>
                <w:sz w:val="21"/>
                <w:lang w:val="en-US" w:eastAsia="zh-CN"/>
              </w:rPr>
              <w:t>售后服务保障支撑</w:t>
            </w:r>
          </w:p>
        </w:tc>
        <w:tc>
          <w:tcPr>
            <w:tcW w:w="585" w:type="dxa"/>
            <w:tcBorders>
              <w:top w:val="single" w:color="EEEEEE" w:sz="6" w:space="0"/>
              <w:left w:val="single" w:color="EEEEEE" w:sz="6" w:space="0"/>
              <w:bottom w:val="single" w:color="EEEEEE" w:sz="6" w:space="0"/>
              <w:right w:val="single" w:color="EEEEEE" w:sz="6" w:space="0"/>
            </w:tcBorders>
          </w:tcPr>
          <w:p>
            <w:pPr>
              <w:spacing w:line="240" w:lineRule="auto"/>
              <w:rPr>
                <w:rFonts w:hint="eastAsia" w:eastAsia="等线"/>
                <w:color w:val="auto"/>
                <w:lang w:val="en-US" w:eastAsia="zh-CN"/>
              </w:rPr>
            </w:pPr>
            <w:r>
              <w:rPr>
                <w:rFonts w:hint="eastAsia"/>
                <w:color w:val="auto"/>
                <w:lang w:val="en-US" w:eastAsia="zh-CN"/>
              </w:rPr>
              <w:t>4</w:t>
            </w:r>
          </w:p>
        </w:tc>
        <w:tc>
          <w:tcPr>
            <w:tcW w:w="6860" w:type="dxa"/>
            <w:tcBorders>
              <w:top w:val="single" w:color="EEEEEE" w:sz="6" w:space="0"/>
              <w:left w:val="single" w:color="EEEEEE" w:sz="6" w:space="0"/>
              <w:bottom w:val="single" w:color="EEEEEE" w:sz="6" w:space="0"/>
              <w:right w:val="single" w:color="EEEEEE" w:sz="6" w:space="0"/>
            </w:tcBorders>
          </w:tcPr>
          <w:p>
            <w:pPr>
              <w:spacing w:line="240" w:lineRule="auto"/>
              <w:rPr>
                <w:rFonts w:hint="eastAsia" w:ascii="宋体" w:hAnsi="宋体" w:eastAsia="宋体" w:cs="宋体"/>
                <w:color w:val="auto"/>
              </w:rPr>
            </w:pPr>
            <w:r>
              <w:rPr>
                <w:rFonts w:hint="eastAsia" w:ascii="宋体" w:hAnsi="宋体" w:eastAsia="宋体" w:cs="宋体"/>
                <w:color w:val="auto"/>
                <w:sz w:val="21"/>
              </w:rPr>
              <w:t>制造商获得相关权威机构颁发的商品售后服务管理体系符合GB/T27922-2011标准规定的“售后服务认证证书五星级”得</w:t>
            </w:r>
            <w:r>
              <w:rPr>
                <w:rFonts w:hint="eastAsia" w:ascii="宋体" w:hAnsi="宋体" w:eastAsia="宋体" w:cs="宋体"/>
                <w:color w:val="auto"/>
                <w:sz w:val="21"/>
                <w:lang w:val="en-US" w:eastAsia="zh-CN"/>
              </w:rPr>
              <w:t>4</w:t>
            </w:r>
            <w:r>
              <w:rPr>
                <w:rFonts w:hint="eastAsia" w:ascii="宋体" w:hAnsi="宋体" w:eastAsia="宋体" w:cs="宋体"/>
                <w:color w:val="auto"/>
                <w:sz w:val="21"/>
              </w:rPr>
              <w:t>分，四星的</w:t>
            </w:r>
            <w:r>
              <w:rPr>
                <w:rFonts w:hint="eastAsia" w:ascii="宋体" w:hAnsi="宋体" w:eastAsia="宋体" w:cs="宋体"/>
                <w:color w:val="auto"/>
                <w:sz w:val="21"/>
                <w:lang w:val="en-US" w:eastAsia="zh-CN"/>
              </w:rPr>
              <w:t>4</w:t>
            </w:r>
            <w:r>
              <w:rPr>
                <w:rFonts w:hint="eastAsia" w:ascii="宋体" w:hAnsi="宋体" w:eastAsia="宋体" w:cs="宋体"/>
                <w:color w:val="auto"/>
                <w:sz w:val="21"/>
              </w:rPr>
              <w:t>分，三星的得</w:t>
            </w:r>
            <w:r>
              <w:rPr>
                <w:rFonts w:hint="eastAsia" w:ascii="宋体" w:hAnsi="宋体" w:eastAsia="宋体" w:cs="宋体"/>
                <w:color w:val="auto"/>
                <w:sz w:val="21"/>
                <w:lang w:val="en-US" w:eastAsia="zh-CN"/>
              </w:rPr>
              <w:t>1</w:t>
            </w:r>
            <w:r>
              <w:rPr>
                <w:rFonts w:hint="eastAsia" w:ascii="宋体" w:hAnsi="宋体" w:eastAsia="宋体" w:cs="宋体"/>
                <w:color w:val="auto"/>
                <w:sz w:val="21"/>
              </w:rPr>
              <w:t>分。不能提供不得分，（提供相关证书作为证明材料）</w:t>
            </w:r>
          </w:p>
        </w:tc>
      </w:tr>
      <w:tr>
        <w:tblPrEx>
          <w:tblCellMar>
            <w:top w:w="0" w:type="dxa"/>
            <w:left w:w="108" w:type="dxa"/>
            <w:bottom w:w="0" w:type="dxa"/>
            <w:right w:w="108" w:type="dxa"/>
          </w:tblCellMar>
        </w:tblPrEx>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3</w:t>
            </w:r>
          </w:p>
        </w:tc>
        <w:tc>
          <w:tcPr>
            <w:tcW w:w="1146"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同类项目</w:t>
            </w:r>
          </w:p>
          <w:p>
            <w:pPr>
              <w:spacing w:line="240" w:lineRule="auto"/>
              <w:rPr>
                <w:color w:val="auto"/>
              </w:rPr>
            </w:pPr>
            <w:r>
              <w:rPr>
                <w:rFonts w:hint="eastAsia"/>
                <w:color w:val="auto"/>
                <w:sz w:val="21"/>
              </w:rPr>
              <w:t>业   绩</w:t>
            </w:r>
          </w:p>
        </w:tc>
        <w:tc>
          <w:tcPr>
            <w:tcW w:w="585"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b/>
                <w:color w:val="auto"/>
                <w:sz w:val="21"/>
              </w:rPr>
              <w:t>3</w:t>
            </w:r>
          </w:p>
        </w:tc>
        <w:tc>
          <w:tcPr>
            <w:tcW w:w="6860"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ascii="&quot;Times New Roman&quot;" w:hAnsi="&quot;Times New Roman&quot;" w:eastAsia="&quot;Times New Roman&quot;"/>
                <w:color w:val="auto"/>
                <w:sz w:val="21"/>
              </w:rPr>
              <w:t>投标人作为独立承包人承担过同类项目，每个案例计1分，满分3分（提供中标通知书和合同复印件加盖公司公章）；</w:t>
            </w:r>
          </w:p>
        </w:tc>
      </w:tr>
      <w:tr>
        <w:tblPrEx>
          <w:tblCellMar>
            <w:top w:w="0" w:type="dxa"/>
            <w:left w:w="108" w:type="dxa"/>
            <w:bottom w:w="0" w:type="dxa"/>
            <w:right w:w="108" w:type="dxa"/>
          </w:tblCellMar>
        </w:tblPrEx>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4</w:t>
            </w:r>
          </w:p>
        </w:tc>
        <w:tc>
          <w:tcPr>
            <w:tcW w:w="1146"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售后服务机构</w:t>
            </w:r>
          </w:p>
        </w:tc>
        <w:tc>
          <w:tcPr>
            <w:tcW w:w="585" w:type="dxa"/>
            <w:tcBorders>
              <w:top w:val="single" w:color="EEEEEE" w:sz="6" w:space="0"/>
              <w:left w:val="single" w:color="EEEEEE" w:sz="6" w:space="0"/>
              <w:bottom w:val="single" w:color="EEEEEE" w:sz="6" w:space="0"/>
              <w:right w:val="single" w:color="EEEEEE" w:sz="6" w:space="0"/>
            </w:tcBorders>
          </w:tcPr>
          <w:p>
            <w:pPr>
              <w:spacing w:line="240" w:lineRule="auto"/>
              <w:rPr>
                <w:rFonts w:hint="eastAsia" w:eastAsia="等线"/>
                <w:color w:val="auto"/>
                <w:lang w:eastAsia="zh-CN"/>
              </w:rPr>
            </w:pPr>
            <w:r>
              <w:rPr>
                <w:rFonts w:hint="eastAsia"/>
                <w:b/>
                <w:color w:val="auto"/>
                <w:sz w:val="21"/>
                <w:lang w:val="en-US" w:eastAsia="zh-CN"/>
              </w:rPr>
              <w:t>8</w:t>
            </w:r>
          </w:p>
        </w:tc>
        <w:tc>
          <w:tcPr>
            <w:tcW w:w="6860"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投标单位在</w:t>
            </w:r>
            <w:r>
              <w:rPr>
                <w:rFonts w:hint="eastAsia"/>
                <w:color w:val="auto"/>
                <w:sz w:val="21"/>
                <w:lang w:val="en-US" w:eastAsia="zh-CN"/>
              </w:rPr>
              <w:t>拉萨</w:t>
            </w:r>
            <w:r>
              <w:rPr>
                <w:rFonts w:hint="eastAsia"/>
                <w:color w:val="auto"/>
                <w:sz w:val="21"/>
              </w:rPr>
              <w:t>注册有安装及售后服务公司（见营业执照，其注册公司必须是投标人自身或分支机构）</w:t>
            </w:r>
            <w:r>
              <w:rPr>
                <w:rFonts w:hint="eastAsia"/>
                <w:color w:val="auto"/>
                <w:sz w:val="21"/>
              </w:rPr>
              <w:t>得</w:t>
            </w:r>
            <w:r>
              <w:rPr>
                <w:rFonts w:hint="eastAsia"/>
                <w:color w:val="auto"/>
                <w:sz w:val="21"/>
                <w:lang w:val="en-US" w:eastAsia="zh-CN"/>
              </w:rPr>
              <w:t>8</w:t>
            </w:r>
            <w:r>
              <w:rPr>
                <w:rFonts w:hint="eastAsia"/>
                <w:color w:val="auto"/>
                <w:sz w:val="21"/>
              </w:rPr>
              <w:t>分；只有维保点没有在</w:t>
            </w:r>
            <w:r>
              <w:rPr>
                <w:rFonts w:hint="eastAsia"/>
                <w:color w:val="auto"/>
                <w:sz w:val="21"/>
                <w:lang w:val="en-US" w:eastAsia="zh-CN"/>
              </w:rPr>
              <w:t>拉萨</w:t>
            </w:r>
            <w:r>
              <w:rPr>
                <w:rFonts w:hint="eastAsia"/>
                <w:color w:val="auto"/>
                <w:sz w:val="21"/>
              </w:rPr>
              <w:t>注册公司得2分；既无公司又无维保点不得分</w:t>
            </w:r>
          </w:p>
        </w:tc>
      </w:tr>
      <w:tr>
        <w:tblPrEx>
          <w:tblCellMar>
            <w:top w:w="0" w:type="dxa"/>
            <w:left w:w="108" w:type="dxa"/>
            <w:bottom w:w="0" w:type="dxa"/>
            <w:right w:w="108" w:type="dxa"/>
          </w:tblCellMar>
        </w:tblPrEx>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5</w:t>
            </w:r>
          </w:p>
        </w:tc>
        <w:tc>
          <w:tcPr>
            <w:tcW w:w="1146" w:type="dxa"/>
            <w:tcBorders>
              <w:top w:val="single" w:color="EEEEEE" w:sz="6" w:space="0"/>
              <w:left w:val="single" w:color="EEEEEE" w:sz="6" w:space="0"/>
              <w:bottom w:val="single" w:color="EEEEEE" w:sz="6" w:space="0"/>
              <w:right w:val="single" w:color="EEEEEE" w:sz="6" w:space="0"/>
            </w:tcBorders>
          </w:tcPr>
          <w:p>
            <w:pPr>
              <w:spacing w:line="240" w:lineRule="auto"/>
              <w:rPr>
                <w:rFonts w:hint="default" w:eastAsia="等线"/>
                <w:color w:val="auto"/>
                <w:lang w:val="en-US" w:eastAsia="zh-CN"/>
              </w:rPr>
            </w:pPr>
            <w:r>
              <w:rPr>
                <w:rFonts w:hint="eastAsia"/>
                <w:color w:val="auto"/>
                <w:sz w:val="21"/>
                <w:lang w:val="en-US" w:eastAsia="zh-CN"/>
              </w:rPr>
              <w:t>制造商实力及信用</w:t>
            </w:r>
          </w:p>
        </w:tc>
        <w:tc>
          <w:tcPr>
            <w:tcW w:w="585" w:type="dxa"/>
            <w:tcBorders>
              <w:top w:val="single" w:color="EEEEEE" w:sz="6" w:space="0"/>
              <w:left w:val="single" w:color="EEEEEE" w:sz="6" w:space="0"/>
              <w:bottom w:val="single" w:color="EEEEEE" w:sz="6" w:space="0"/>
              <w:right w:val="single" w:color="EEEEEE" w:sz="6" w:space="0"/>
            </w:tcBorders>
          </w:tcPr>
          <w:p>
            <w:pPr>
              <w:spacing w:line="240" w:lineRule="auto"/>
              <w:rPr>
                <w:rFonts w:hint="eastAsia" w:eastAsia="等线"/>
                <w:color w:val="auto"/>
                <w:lang w:eastAsia="zh-CN"/>
              </w:rPr>
            </w:pPr>
            <w:r>
              <w:rPr>
                <w:rFonts w:hint="eastAsia"/>
                <w:b/>
                <w:color w:val="auto"/>
                <w:sz w:val="21"/>
                <w:lang w:val="en-US" w:eastAsia="zh-CN"/>
              </w:rPr>
              <w:t>6</w:t>
            </w:r>
          </w:p>
        </w:tc>
        <w:tc>
          <w:tcPr>
            <w:tcW w:w="6860"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lang w:val="en-US" w:eastAsia="zh-CN"/>
              </w:rPr>
              <w:t>投标产品的生产厂家获得ISO9001系列质量管理体系认证证书、ISO14001环境管理体系认证证书、ISO45001或OHSAS18001职业健康安全管理体系认证证书、CMS测量管理体系认证证书、知识产权管理体系认证证书（标准GB/T29490）、能源管理体系认证证书（GB/T23331）。需提供第三方权威机构颁发的证书。每提供一个得1分。</w:t>
            </w:r>
          </w:p>
        </w:tc>
      </w:tr>
    </w:tbl>
    <w:p>
      <w:pPr>
        <w:spacing w:line="439" w:lineRule="auto"/>
        <w:ind w:firstLineChars="100"/>
        <w:jc w:val="both"/>
        <w:rPr>
          <w:color w:val="auto"/>
        </w:rPr>
      </w:pPr>
      <w:r>
        <w:rPr>
          <w:rFonts w:hint="eastAsia"/>
          <w:color w:val="auto"/>
          <w:sz w:val="28"/>
        </w:rPr>
        <w:t>技术评议（25分）</w:t>
      </w:r>
    </w:p>
    <w:tbl>
      <w:tblPr>
        <w:tblStyle w:val="11"/>
        <w:tblW w:w="8522" w:type="dxa"/>
        <w:tblInd w:w="0" w:type="dxa"/>
        <w:tblLayout w:type="autofit"/>
        <w:tblCellMar>
          <w:top w:w="0" w:type="dxa"/>
          <w:left w:w="108" w:type="dxa"/>
          <w:bottom w:w="0" w:type="dxa"/>
          <w:right w:w="108" w:type="dxa"/>
        </w:tblCellMar>
      </w:tblPr>
      <w:tblGrid>
        <w:gridCol w:w="429"/>
        <w:gridCol w:w="950"/>
        <w:gridCol w:w="429"/>
        <w:gridCol w:w="6714"/>
      </w:tblGrid>
      <w:tr>
        <w:tblPrEx>
          <w:tblCellMar>
            <w:top w:w="0" w:type="dxa"/>
            <w:left w:w="108" w:type="dxa"/>
            <w:bottom w:w="0" w:type="dxa"/>
            <w:right w:w="108" w:type="dxa"/>
          </w:tblCellMar>
        </w:tblPrEx>
        <w:tc>
          <w:tcPr>
            <w:tcW w:w="323"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6</w:t>
            </w:r>
          </w:p>
        </w:tc>
        <w:tc>
          <w:tcPr>
            <w:tcW w:w="950"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设备主要性能指标</w:t>
            </w:r>
          </w:p>
        </w:tc>
        <w:tc>
          <w:tcPr>
            <w:tcBorders>
              <w:top w:val="single" w:color="EEEEEE" w:sz="6" w:space="0"/>
              <w:left w:val="single" w:color="EEEEEE" w:sz="6" w:space="0"/>
              <w:bottom w:val="single" w:color="EEEEEE" w:sz="6" w:space="0"/>
              <w:right w:val="single" w:color="EEEEEE" w:sz="6" w:space="0"/>
            </w:tcBorders>
          </w:tcPr>
          <w:p>
            <w:pPr>
              <w:spacing w:line="240" w:lineRule="auto"/>
              <w:rPr>
                <w:rFonts w:hint="default" w:eastAsia="等线"/>
                <w:color w:val="auto"/>
                <w:lang w:val="en-US" w:eastAsia="zh-CN"/>
              </w:rPr>
            </w:pPr>
            <w:r>
              <w:rPr>
                <w:rFonts w:hint="eastAsia"/>
                <w:b/>
                <w:color w:val="auto"/>
                <w:sz w:val="21"/>
                <w:lang w:val="en-US" w:eastAsia="zh-CN"/>
              </w:rPr>
              <w:t>12</w:t>
            </w:r>
          </w:p>
        </w:tc>
        <w:tc>
          <w:tcPr>
            <w:tcBorders>
              <w:top w:val="single" w:color="EEEEEE" w:sz="6" w:space="0"/>
              <w:left w:val="single" w:color="EEEEEE" w:sz="6" w:space="0"/>
              <w:bottom w:val="single" w:color="EEEEEE" w:sz="6" w:space="0"/>
              <w:right w:val="single" w:color="EEEEEE" w:sz="6" w:space="0"/>
            </w:tcBorders>
          </w:tcPr>
          <w:p>
            <w:pPr>
              <w:numPr>
                <w:ilvl w:val="0"/>
                <w:numId w:val="1"/>
              </w:numPr>
              <w:spacing w:line="240" w:lineRule="auto"/>
              <w:rPr>
                <w:rFonts w:hint="eastAsia"/>
                <w:color w:val="auto"/>
                <w:sz w:val="21"/>
              </w:rPr>
            </w:pPr>
            <w:r>
              <w:rPr>
                <w:rFonts w:hint="eastAsia"/>
                <w:color w:val="auto"/>
                <w:sz w:val="21"/>
                <w:lang w:val="en-US" w:eastAsia="zh-CN"/>
              </w:rPr>
              <w:t>变频器</w:t>
            </w:r>
            <w:r>
              <w:rPr>
                <w:rFonts w:hint="eastAsia"/>
                <w:color w:val="auto"/>
                <w:sz w:val="21"/>
              </w:rPr>
              <w:t>为原厂品牌5分</w:t>
            </w:r>
            <w:r>
              <w:rPr>
                <w:rFonts w:hint="eastAsia"/>
                <w:color w:val="auto"/>
                <w:sz w:val="21"/>
                <w:lang w:eastAsia="zh-CN"/>
              </w:rPr>
              <w:t>，</w:t>
            </w:r>
            <w:r>
              <w:rPr>
                <w:rFonts w:hint="eastAsia" w:ascii="宋体" w:hAnsi="宋体" w:eastAsia="宋体" w:cs="宋体"/>
                <w:color w:val="auto"/>
                <w:kern w:val="0"/>
                <w:sz w:val="18"/>
                <w:szCs w:val="18"/>
                <w:shd w:val="clear"/>
              </w:rPr>
              <w:t>（提供具有CMA或CNAS标志的第三方检测报告）</w:t>
            </w:r>
            <w:r>
              <w:rPr>
                <w:rFonts w:hint="eastAsia"/>
                <w:color w:val="auto"/>
                <w:sz w:val="21"/>
              </w:rPr>
              <w:t>（使用其它厂家的2分）</w:t>
            </w:r>
            <w:r>
              <w:rPr>
                <w:rFonts w:hint="eastAsia"/>
                <w:color w:val="auto"/>
                <w:sz w:val="21"/>
              </w:rPr>
              <w:t>提供</w:t>
            </w:r>
            <w:r>
              <w:rPr>
                <w:rFonts w:hint="eastAsia"/>
                <w:color w:val="auto"/>
                <w:sz w:val="21"/>
                <w:lang w:val="en-US" w:eastAsia="zh-CN"/>
              </w:rPr>
              <w:t>相关检测报告或证书</w:t>
            </w:r>
            <w:r>
              <w:rPr>
                <w:rFonts w:hint="eastAsia"/>
                <w:color w:val="auto"/>
                <w:sz w:val="21"/>
              </w:rPr>
              <w:t>；</w:t>
            </w:r>
          </w:p>
          <w:p>
            <w:pPr>
              <w:numPr>
                <w:ilvl w:val="0"/>
                <w:numId w:val="1"/>
              </w:numPr>
              <w:spacing w:line="240" w:lineRule="auto"/>
              <w:rPr>
                <w:rFonts w:hint="default" w:eastAsia="等线"/>
                <w:color w:val="auto"/>
                <w:lang w:val="en-US" w:eastAsia="zh-CN"/>
              </w:rPr>
            </w:pPr>
            <w:r>
              <w:rPr>
                <w:rFonts w:hint="eastAsia"/>
                <w:color w:val="auto"/>
                <w:sz w:val="21"/>
              </w:rPr>
              <w:t>限速器、安全钳、缓冲器、安全电路</w:t>
            </w:r>
            <w:r>
              <w:rPr>
                <w:rFonts w:hint="eastAsia"/>
                <w:color w:val="auto"/>
                <w:sz w:val="21"/>
                <w:lang w:eastAsia="zh-CN"/>
              </w:rPr>
              <w:t>、</w:t>
            </w:r>
            <w:r>
              <w:rPr>
                <w:rFonts w:hint="eastAsia"/>
                <w:color w:val="auto"/>
                <w:sz w:val="21"/>
              </w:rPr>
              <w:t>层门门锁、上行超速保护装置、轿厢意外移动保护装置</w:t>
            </w:r>
            <w:r>
              <w:rPr>
                <w:rFonts w:hint="eastAsia"/>
                <w:color w:val="auto"/>
                <w:sz w:val="21"/>
                <w:lang w:val="en-US" w:eastAsia="zh-CN"/>
              </w:rPr>
              <w:t>要求原厂原品牌，每提供一个得1分。</w:t>
            </w:r>
            <w:r>
              <w:rPr>
                <w:rFonts w:hint="eastAsia"/>
                <w:color w:val="auto"/>
                <w:sz w:val="21"/>
              </w:rPr>
              <w:t>提供</w:t>
            </w:r>
            <w:r>
              <w:rPr>
                <w:rFonts w:hint="eastAsia"/>
                <w:color w:val="auto"/>
                <w:sz w:val="21"/>
                <w:lang w:val="en-US" w:eastAsia="zh-CN"/>
              </w:rPr>
              <w:t>相关检测报告或证书（共7分）</w:t>
            </w:r>
          </w:p>
        </w:tc>
      </w:tr>
      <w:tr>
        <w:tblPrEx>
          <w:tblCellMar>
            <w:top w:w="0" w:type="dxa"/>
            <w:left w:w="108" w:type="dxa"/>
            <w:bottom w:w="0" w:type="dxa"/>
            <w:right w:w="108" w:type="dxa"/>
          </w:tblCellMar>
        </w:tblPrEx>
        <w:trPr>
          <w:trHeight w:val="1283" w:hRule="atLeast"/>
        </w:trPr>
        <w:tc>
          <w:tcPr>
            <w:tcW w:w="323" w:type="dxa"/>
            <w:tcBorders>
              <w:top w:val="single" w:color="EEEEEE" w:sz="6" w:space="0"/>
              <w:left w:val="single" w:color="EEEEEE" w:sz="6" w:space="0"/>
              <w:bottom w:val="single" w:color="EEEEEE" w:sz="6" w:space="0"/>
              <w:right w:val="single" w:color="EEEEEE" w:sz="6" w:space="0"/>
            </w:tcBorders>
          </w:tcPr>
          <w:p>
            <w:pPr>
              <w:spacing w:line="240" w:lineRule="auto"/>
              <w:rPr>
                <w:rFonts w:hint="eastAsia" w:eastAsia="等线"/>
                <w:color w:val="auto"/>
                <w:sz w:val="21"/>
                <w:lang w:val="en-US" w:eastAsia="zh-CN"/>
              </w:rPr>
            </w:pPr>
            <w:r>
              <w:rPr>
                <w:rFonts w:hint="eastAsia"/>
                <w:color w:val="auto"/>
                <w:sz w:val="21"/>
                <w:lang w:val="en-US" w:eastAsia="zh-CN"/>
              </w:rPr>
              <w:t>7</w:t>
            </w:r>
          </w:p>
        </w:tc>
        <w:tc>
          <w:tcPr>
            <w:tcW w:w="950" w:type="dxa"/>
            <w:tcBorders>
              <w:top w:val="single" w:color="EEEEEE" w:sz="6" w:space="0"/>
              <w:left w:val="single" w:color="EEEEEE" w:sz="6" w:space="0"/>
              <w:bottom w:val="single" w:color="EEEEEE" w:sz="6" w:space="0"/>
              <w:right w:val="single" w:color="EEEEEE" w:sz="6" w:space="0"/>
            </w:tcBorders>
          </w:tcPr>
          <w:p>
            <w:pPr>
              <w:spacing w:line="240" w:lineRule="auto"/>
              <w:rPr>
                <w:rFonts w:hint="default" w:eastAsia="等线"/>
                <w:color w:val="auto"/>
                <w:sz w:val="21"/>
                <w:lang w:val="en-US" w:eastAsia="zh-CN"/>
              </w:rPr>
            </w:pPr>
            <w:r>
              <w:rPr>
                <w:rFonts w:hint="eastAsia"/>
                <w:color w:val="auto"/>
                <w:sz w:val="21"/>
                <w:lang w:val="en-US" w:eastAsia="zh-CN"/>
              </w:rPr>
              <w:t>重要部件质量评定</w:t>
            </w:r>
          </w:p>
        </w:tc>
        <w:tc>
          <w:tcPr>
            <w:tcBorders>
              <w:top w:val="single" w:color="EEEEEE" w:sz="6" w:space="0"/>
              <w:left w:val="single" w:color="EEEEEE" w:sz="6" w:space="0"/>
              <w:bottom w:val="single" w:color="EEEEEE" w:sz="6" w:space="0"/>
              <w:right w:val="single" w:color="EEEEEE" w:sz="6" w:space="0"/>
            </w:tcBorders>
          </w:tcPr>
          <w:p>
            <w:pPr>
              <w:spacing w:line="240" w:lineRule="auto"/>
              <w:rPr>
                <w:rFonts w:hint="default" w:eastAsia="等线"/>
                <w:b/>
                <w:color w:val="auto"/>
                <w:sz w:val="21"/>
                <w:lang w:val="en-US" w:eastAsia="zh-CN"/>
              </w:rPr>
            </w:pPr>
            <w:r>
              <w:rPr>
                <w:rFonts w:hint="eastAsia"/>
                <w:b/>
                <w:color w:val="auto"/>
                <w:sz w:val="21"/>
                <w:lang w:val="en-US" w:eastAsia="zh-CN"/>
              </w:rPr>
              <w:t>6</w:t>
            </w:r>
          </w:p>
        </w:tc>
        <w:tc>
          <w:tcPr>
            <w:tcBorders>
              <w:top w:val="single" w:color="EEEEEE" w:sz="6" w:space="0"/>
              <w:left w:val="single" w:color="EEEEEE" w:sz="6" w:space="0"/>
              <w:bottom w:val="single" w:color="EEEEEE" w:sz="6" w:space="0"/>
              <w:right w:val="single" w:color="EEEEEE" w:sz="6" w:space="0"/>
            </w:tcBorders>
          </w:tcPr>
          <w:p>
            <w:pPr>
              <w:numPr>
                <w:ilvl w:val="0"/>
                <w:numId w:val="2"/>
              </w:numPr>
              <w:spacing w:line="240" w:lineRule="auto"/>
              <w:rPr>
                <w:rFonts w:hint="eastAsia" w:ascii="宋体" w:hAnsi="宋体" w:eastAsia="宋体" w:cs="宋体"/>
                <w:color w:val="auto"/>
                <w:kern w:val="0"/>
                <w:sz w:val="20"/>
                <w:szCs w:val="20"/>
                <w:shd w:val="clear"/>
                <w:lang w:eastAsia="zh-CN"/>
              </w:rPr>
            </w:pPr>
            <w:r>
              <w:rPr>
                <w:rFonts w:hint="eastAsia" w:ascii="宋体" w:hAnsi="宋体" w:eastAsia="宋体" w:cs="宋体"/>
                <w:color w:val="auto"/>
                <w:kern w:val="0"/>
                <w:sz w:val="20"/>
                <w:szCs w:val="20"/>
                <w:shd w:val="clear"/>
              </w:rPr>
              <w:t>导轨支架防锈等级要求到达：中性盐雾试验时间≥120h，表面无明显锈蚀</w:t>
            </w:r>
            <w:r>
              <w:rPr>
                <w:rFonts w:hint="eastAsia" w:ascii="宋体" w:hAnsi="宋体" w:eastAsia="宋体" w:cs="宋体"/>
                <w:color w:val="auto"/>
                <w:kern w:val="0"/>
                <w:sz w:val="20"/>
                <w:szCs w:val="20"/>
                <w:shd w:val="clear"/>
                <w:lang w:eastAsia="zh-CN"/>
              </w:rPr>
              <w:t>的</w:t>
            </w:r>
            <w:r>
              <w:rPr>
                <w:rFonts w:hint="eastAsia" w:ascii="宋体" w:hAnsi="宋体" w:eastAsia="宋体" w:cs="宋体"/>
                <w:color w:val="auto"/>
                <w:kern w:val="0"/>
                <w:sz w:val="20"/>
                <w:szCs w:val="20"/>
                <w:shd w:val="clear"/>
                <w:lang w:val="en-US" w:eastAsia="zh-CN"/>
              </w:rPr>
              <w:t>得2分</w:t>
            </w:r>
            <w:r>
              <w:rPr>
                <w:rFonts w:hint="eastAsia" w:ascii="宋体" w:hAnsi="宋体" w:eastAsia="宋体" w:cs="宋体"/>
                <w:color w:val="auto"/>
                <w:kern w:val="0"/>
                <w:sz w:val="20"/>
                <w:szCs w:val="20"/>
                <w:shd w:val="clear"/>
              </w:rPr>
              <w:t>（提供具有CMA或CNAS标志的</w:t>
            </w:r>
            <w:r>
              <w:rPr>
                <w:rFonts w:hint="eastAsia" w:ascii="宋体" w:hAnsi="宋体" w:eastAsia="宋体" w:cs="宋体"/>
                <w:color w:val="auto"/>
                <w:kern w:val="0"/>
                <w:sz w:val="20"/>
                <w:szCs w:val="20"/>
                <w:shd w:val="clear"/>
                <w:lang w:val="en-US" w:eastAsia="zh-CN"/>
              </w:rPr>
              <w:t>权威</w:t>
            </w:r>
            <w:r>
              <w:rPr>
                <w:rFonts w:hint="eastAsia" w:ascii="宋体" w:hAnsi="宋体" w:eastAsia="宋体" w:cs="宋体"/>
                <w:color w:val="auto"/>
                <w:kern w:val="0"/>
                <w:sz w:val="20"/>
                <w:szCs w:val="20"/>
                <w:shd w:val="clear"/>
              </w:rPr>
              <w:t>检测报告）</w:t>
            </w:r>
            <w:r>
              <w:rPr>
                <w:rFonts w:hint="eastAsia" w:ascii="宋体" w:hAnsi="宋体" w:eastAsia="宋体" w:cs="宋体"/>
                <w:color w:val="auto"/>
                <w:kern w:val="0"/>
                <w:sz w:val="20"/>
                <w:szCs w:val="20"/>
                <w:shd w:val="clear"/>
                <w:lang w:eastAsia="zh-CN"/>
              </w:rPr>
              <w:t>；</w:t>
            </w:r>
          </w:p>
          <w:p>
            <w:pPr>
              <w:numPr>
                <w:ilvl w:val="0"/>
                <w:numId w:val="2"/>
              </w:numPr>
              <w:spacing w:line="240" w:lineRule="auto"/>
              <w:rPr>
                <w:rFonts w:hint="eastAsia" w:eastAsia="宋体"/>
                <w:color w:val="auto"/>
                <w:sz w:val="22"/>
                <w:szCs w:val="24"/>
                <w:lang w:val="en-US" w:eastAsia="zh-CN"/>
              </w:rPr>
            </w:pPr>
            <w:r>
              <w:rPr>
                <w:rFonts w:hint="eastAsia" w:ascii="宋体" w:hAnsi="宋体" w:eastAsia="宋体" w:cs="宋体"/>
                <w:color w:val="auto"/>
                <w:kern w:val="0"/>
                <w:sz w:val="20"/>
                <w:szCs w:val="20"/>
                <w:shd w:val="clear"/>
                <w:lang w:val="en-US" w:eastAsia="zh-CN"/>
              </w:rPr>
              <w:t>操纵箱面板</w:t>
            </w:r>
            <w:r>
              <w:rPr>
                <w:rFonts w:hint="eastAsia" w:ascii="宋体" w:hAnsi="宋体" w:eastAsia="宋体" w:cs="宋体"/>
                <w:color w:val="auto"/>
                <w:kern w:val="0"/>
                <w:sz w:val="20"/>
                <w:szCs w:val="20"/>
                <w:shd w:val="clear"/>
              </w:rPr>
              <w:t>要求</w:t>
            </w:r>
            <w:r>
              <w:rPr>
                <w:rFonts w:hint="eastAsia" w:ascii="宋体" w:hAnsi="宋体" w:eastAsia="宋体" w:cs="宋体"/>
                <w:color w:val="auto"/>
                <w:kern w:val="0"/>
                <w:sz w:val="20"/>
                <w:szCs w:val="20"/>
                <w:shd w:val="clear"/>
                <w:lang w:val="en-US" w:eastAsia="zh-CN"/>
              </w:rPr>
              <w:t>中性盐雾测试试验96小时后依据GB6461判定等级，保护等级≥9级</w:t>
            </w:r>
            <w:r>
              <w:rPr>
                <w:rFonts w:hint="eastAsia" w:ascii="宋体" w:hAnsi="宋体" w:eastAsia="宋体" w:cs="宋体"/>
                <w:color w:val="auto"/>
                <w:kern w:val="0"/>
                <w:sz w:val="20"/>
                <w:szCs w:val="20"/>
                <w:shd w:val="clear"/>
                <w:lang w:eastAsia="zh-CN"/>
              </w:rPr>
              <w:t>的</w:t>
            </w:r>
            <w:r>
              <w:rPr>
                <w:rFonts w:hint="eastAsia" w:ascii="宋体" w:hAnsi="宋体" w:eastAsia="宋体" w:cs="宋体"/>
                <w:color w:val="auto"/>
                <w:kern w:val="0"/>
                <w:sz w:val="20"/>
                <w:szCs w:val="20"/>
                <w:shd w:val="clear"/>
                <w:lang w:val="en-US" w:eastAsia="zh-CN"/>
              </w:rPr>
              <w:t>得2分</w:t>
            </w:r>
            <w:r>
              <w:rPr>
                <w:rFonts w:hint="eastAsia" w:ascii="宋体" w:hAnsi="宋体" w:eastAsia="宋体" w:cs="宋体"/>
                <w:color w:val="auto"/>
                <w:kern w:val="0"/>
                <w:sz w:val="20"/>
                <w:szCs w:val="20"/>
                <w:shd w:val="clear"/>
              </w:rPr>
              <w:t>（须提供具有CMA或CNAS标志的</w:t>
            </w:r>
            <w:r>
              <w:rPr>
                <w:rFonts w:hint="eastAsia" w:ascii="宋体" w:hAnsi="宋体" w:eastAsia="宋体" w:cs="宋体"/>
                <w:color w:val="auto"/>
                <w:kern w:val="0"/>
                <w:sz w:val="20"/>
                <w:szCs w:val="20"/>
                <w:shd w:val="clear"/>
                <w:lang w:val="en-US" w:eastAsia="zh-CN"/>
              </w:rPr>
              <w:t>权威</w:t>
            </w:r>
            <w:r>
              <w:rPr>
                <w:rFonts w:hint="eastAsia" w:ascii="宋体" w:hAnsi="宋体" w:eastAsia="宋体" w:cs="宋体"/>
                <w:color w:val="auto"/>
                <w:kern w:val="0"/>
                <w:sz w:val="20"/>
                <w:szCs w:val="20"/>
                <w:shd w:val="clear"/>
              </w:rPr>
              <w:t>检测报告）</w:t>
            </w:r>
            <w:r>
              <w:rPr>
                <w:rFonts w:hint="eastAsia" w:ascii="宋体" w:hAnsi="宋体" w:eastAsia="宋体" w:cs="宋体"/>
                <w:color w:val="auto"/>
                <w:kern w:val="0"/>
                <w:sz w:val="20"/>
                <w:szCs w:val="20"/>
                <w:shd w:val="clear"/>
                <w:lang w:eastAsia="zh-CN"/>
              </w:rPr>
              <w:t>；</w:t>
            </w:r>
          </w:p>
          <w:p>
            <w:pPr>
              <w:numPr>
                <w:ilvl w:val="0"/>
                <w:numId w:val="2"/>
              </w:numPr>
              <w:spacing w:line="240" w:lineRule="auto"/>
              <w:rPr>
                <w:rFonts w:hint="eastAsia" w:eastAsia="宋体"/>
                <w:color w:val="auto"/>
                <w:sz w:val="21"/>
                <w:lang w:val="en-US" w:eastAsia="zh-CN"/>
              </w:rPr>
            </w:pPr>
            <w:r>
              <w:rPr>
                <w:rFonts w:hint="eastAsia" w:ascii="宋体" w:hAnsi="宋体" w:eastAsia="宋体" w:cs="宋体"/>
                <w:color w:val="auto"/>
                <w:kern w:val="0"/>
                <w:sz w:val="20"/>
                <w:szCs w:val="20"/>
                <w:shd w:val="clear"/>
              </w:rPr>
              <w:t>所投品牌电梯制造商具备控制柜宽电压技术实力，电梯控制柜能适应电压波动≥380V</w:t>
            </w:r>
            <w:r>
              <w:rPr>
                <w:rFonts w:hint="eastAsia" w:ascii="宋体" w:hAnsi="宋体" w:eastAsia="宋体" w:cs="宋体"/>
                <w:color w:val="auto"/>
                <w:kern w:val="0"/>
                <w:sz w:val="20"/>
                <w:szCs w:val="20"/>
                <w:shd w:val="clear"/>
                <w:lang w:eastAsia="zh-CN"/>
              </w:rPr>
              <w:t>（</w:t>
            </w:r>
            <w:r>
              <w:rPr>
                <w:rFonts w:hint="eastAsia" w:ascii="宋体" w:hAnsi="宋体" w:eastAsia="宋体" w:cs="宋体"/>
                <w:color w:val="auto"/>
                <w:kern w:val="0"/>
                <w:sz w:val="20"/>
                <w:szCs w:val="20"/>
                <w:shd w:val="clear"/>
                <w:lang w:val="en-US" w:eastAsia="zh-CN"/>
              </w:rPr>
              <w:t>±57V或±</w:t>
            </w:r>
            <w:r>
              <w:rPr>
                <w:rFonts w:hint="eastAsia" w:ascii="宋体" w:hAnsi="宋体" w:eastAsia="宋体" w:cs="宋体"/>
                <w:color w:val="auto"/>
                <w:kern w:val="0"/>
                <w:sz w:val="20"/>
                <w:szCs w:val="20"/>
                <w:shd w:val="clear"/>
              </w:rPr>
              <w:t>15%</w:t>
            </w:r>
            <w:r>
              <w:rPr>
                <w:rFonts w:hint="eastAsia" w:ascii="宋体" w:hAnsi="宋体" w:eastAsia="宋体" w:cs="宋体"/>
                <w:color w:val="auto"/>
                <w:kern w:val="0"/>
                <w:sz w:val="20"/>
                <w:szCs w:val="20"/>
                <w:shd w:val="clear"/>
                <w:lang w:eastAsia="zh-CN"/>
              </w:rPr>
              <w:t>）</w:t>
            </w:r>
            <w:r>
              <w:rPr>
                <w:rFonts w:hint="eastAsia" w:ascii="宋体" w:hAnsi="宋体" w:eastAsia="宋体" w:cs="宋体"/>
                <w:color w:val="auto"/>
                <w:kern w:val="0"/>
                <w:sz w:val="20"/>
                <w:szCs w:val="20"/>
                <w:shd w:val="clear"/>
                <w:lang w:val="en-US" w:eastAsia="zh-CN"/>
              </w:rPr>
              <w:t>得2分 （提供具有CMA或CNAS标志的第三方检测报告）</w:t>
            </w:r>
          </w:p>
        </w:tc>
      </w:tr>
      <w:tr>
        <w:tblPrEx>
          <w:tblCellMar>
            <w:top w:w="0" w:type="dxa"/>
            <w:left w:w="108" w:type="dxa"/>
            <w:bottom w:w="0" w:type="dxa"/>
            <w:right w:w="108" w:type="dxa"/>
          </w:tblCellMar>
        </w:tblPrEx>
        <w:tc>
          <w:tcPr>
            <w:tcW w:w="323" w:type="dxa"/>
            <w:tcBorders>
              <w:top w:val="single" w:color="EEEEEE" w:sz="6" w:space="0"/>
              <w:left w:val="single" w:color="EEEEEE" w:sz="6" w:space="0"/>
              <w:bottom w:val="single" w:color="EEEEEE" w:sz="6" w:space="0"/>
              <w:right w:val="single" w:color="EEEEEE" w:sz="6" w:space="0"/>
            </w:tcBorders>
          </w:tcPr>
          <w:p>
            <w:pPr>
              <w:spacing w:line="240" w:lineRule="auto"/>
              <w:rPr>
                <w:rFonts w:hint="eastAsia" w:eastAsia="等线"/>
                <w:color w:val="auto"/>
                <w:lang w:val="en-US" w:eastAsia="zh-CN"/>
              </w:rPr>
            </w:pPr>
            <w:r>
              <w:rPr>
                <w:rFonts w:hint="eastAsia"/>
                <w:color w:val="auto"/>
                <w:lang w:val="en-US" w:eastAsia="zh-CN"/>
              </w:rPr>
              <w:t>8</w:t>
            </w:r>
          </w:p>
        </w:tc>
        <w:tc>
          <w:tcPr>
            <w:tcW w:w="950"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rPr>
              <w:t>能源效率等级要求</w:t>
            </w:r>
          </w:p>
        </w:tc>
        <w:tc>
          <w:tcPr>
            <w:tcBorders>
              <w:top w:val="single" w:color="EEEEEE" w:sz="6" w:space="0"/>
              <w:left w:val="single" w:color="EEEEEE" w:sz="6" w:space="0"/>
              <w:bottom w:val="single" w:color="EEEEEE" w:sz="6" w:space="0"/>
              <w:right w:val="single" w:color="EEEEEE" w:sz="6" w:space="0"/>
            </w:tcBorders>
          </w:tcPr>
          <w:p>
            <w:pPr>
              <w:spacing w:line="240" w:lineRule="auto"/>
              <w:rPr>
                <w:rFonts w:hint="eastAsia" w:eastAsia="等线"/>
                <w:color w:val="auto"/>
                <w:lang w:val="en-US" w:eastAsia="zh-CN"/>
              </w:rPr>
            </w:pPr>
            <w:r>
              <w:rPr>
                <w:rFonts w:hint="eastAsia"/>
                <w:color w:val="auto"/>
                <w:lang w:val="en-US" w:eastAsia="zh-CN"/>
              </w:rPr>
              <w:t>3</w:t>
            </w:r>
          </w:p>
        </w:tc>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ascii="宋体" w:hAnsi="宋体" w:eastAsia="宋体" w:cs="宋体"/>
                <w:color w:val="auto"/>
                <w:kern w:val="0"/>
                <w:sz w:val="20"/>
                <w:szCs w:val="20"/>
                <w:shd w:val="clear"/>
              </w:rPr>
              <w:t>产品能源效率等级为A+++级</w:t>
            </w:r>
            <w:r>
              <w:rPr>
                <w:rFonts w:hint="eastAsia" w:ascii="宋体" w:hAnsi="宋体" w:eastAsia="宋体" w:cs="宋体"/>
                <w:color w:val="auto"/>
                <w:kern w:val="0"/>
                <w:sz w:val="20"/>
                <w:szCs w:val="20"/>
                <w:shd w:val="clear"/>
                <w:lang w:eastAsia="zh-CN"/>
              </w:rPr>
              <w:t>的，</w:t>
            </w:r>
            <w:r>
              <w:rPr>
                <w:rFonts w:hint="eastAsia" w:ascii="宋体" w:hAnsi="宋体" w:eastAsia="宋体" w:cs="宋体"/>
                <w:color w:val="auto"/>
                <w:kern w:val="0"/>
                <w:sz w:val="20"/>
                <w:szCs w:val="20"/>
                <w:shd w:val="clear"/>
                <w:lang w:val="en-US" w:eastAsia="zh-CN"/>
              </w:rPr>
              <w:t>得3分，</w:t>
            </w:r>
            <w:r>
              <w:rPr>
                <w:rFonts w:hint="eastAsia" w:ascii="宋体" w:hAnsi="宋体" w:eastAsia="宋体" w:cs="宋体"/>
                <w:color w:val="auto"/>
                <w:kern w:val="0"/>
                <w:sz w:val="20"/>
                <w:szCs w:val="20"/>
                <w:shd w:val="clear"/>
              </w:rPr>
              <w:t>A++级</w:t>
            </w:r>
            <w:r>
              <w:rPr>
                <w:rFonts w:hint="eastAsia" w:ascii="宋体" w:hAnsi="宋体" w:eastAsia="宋体" w:cs="宋体"/>
                <w:color w:val="auto"/>
                <w:kern w:val="0"/>
                <w:sz w:val="20"/>
                <w:szCs w:val="20"/>
                <w:shd w:val="clear"/>
                <w:lang w:eastAsia="zh-CN"/>
              </w:rPr>
              <w:t>的，</w:t>
            </w:r>
            <w:r>
              <w:rPr>
                <w:rFonts w:hint="eastAsia" w:ascii="宋体" w:hAnsi="宋体" w:eastAsia="宋体" w:cs="宋体"/>
                <w:color w:val="auto"/>
                <w:kern w:val="0"/>
                <w:sz w:val="20"/>
                <w:szCs w:val="20"/>
                <w:shd w:val="clear"/>
                <w:lang w:val="en-US" w:eastAsia="zh-CN"/>
              </w:rPr>
              <w:t>得2分，</w:t>
            </w:r>
            <w:r>
              <w:rPr>
                <w:rFonts w:hint="eastAsia" w:ascii="宋体" w:hAnsi="宋体" w:eastAsia="宋体" w:cs="宋体"/>
                <w:color w:val="auto"/>
                <w:kern w:val="0"/>
                <w:sz w:val="20"/>
                <w:szCs w:val="20"/>
                <w:shd w:val="clear"/>
              </w:rPr>
              <w:t>A+级</w:t>
            </w:r>
            <w:r>
              <w:rPr>
                <w:rFonts w:hint="eastAsia" w:ascii="宋体" w:hAnsi="宋体" w:eastAsia="宋体" w:cs="宋体"/>
                <w:color w:val="auto"/>
                <w:kern w:val="0"/>
                <w:sz w:val="20"/>
                <w:szCs w:val="20"/>
                <w:shd w:val="clear"/>
                <w:lang w:eastAsia="zh-CN"/>
              </w:rPr>
              <w:t>的，</w:t>
            </w:r>
            <w:r>
              <w:rPr>
                <w:rFonts w:hint="eastAsia" w:ascii="宋体" w:hAnsi="宋体" w:eastAsia="宋体" w:cs="宋体"/>
                <w:color w:val="auto"/>
                <w:kern w:val="0"/>
                <w:sz w:val="20"/>
                <w:szCs w:val="20"/>
                <w:shd w:val="clear"/>
                <w:lang w:val="en-US" w:eastAsia="zh-CN"/>
              </w:rPr>
              <w:t>得1分.不能提供不得分</w:t>
            </w:r>
            <w:r>
              <w:rPr>
                <w:rFonts w:hint="eastAsia" w:ascii="宋体" w:hAnsi="宋体" w:eastAsia="宋体" w:cs="宋体"/>
                <w:color w:val="auto"/>
                <w:kern w:val="0"/>
                <w:sz w:val="20"/>
                <w:szCs w:val="20"/>
                <w:shd w:val="clear"/>
              </w:rPr>
              <w:t>（提供第三方权威认证机构证书）</w:t>
            </w:r>
          </w:p>
        </w:tc>
      </w:tr>
      <w:tr>
        <w:tblPrEx>
          <w:tblCellMar>
            <w:top w:w="0" w:type="dxa"/>
            <w:left w:w="108" w:type="dxa"/>
            <w:bottom w:w="0" w:type="dxa"/>
            <w:right w:w="108" w:type="dxa"/>
          </w:tblCellMar>
        </w:tblPrEx>
        <w:tc>
          <w:tcPr>
            <w:tcW w:w="323" w:type="dxa"/>
            <w:tcBorders>
              <w:top w:val="single" w:color="EEEEEE" w:sz="6" w:space="0"/>
              <w:left w:val="single" w:color="EEEEEE" w:sz="6" w:space="0"/>
              <w:bottom w:val="single" w:color="EEEEEE" w:sz="6" w:space="0"/>
              <w:right w:val="single" w:color="EEEEEE" w:sz="6" w:space="0"/>
            </w:tcBorders>
          </w:tcPr>
          <w:p>
            <w:pPr>
              <w:spacing w:line="240" w:lineRule="auto"/>
              <w:rPr>
                <w:rFonts w:hint="eastAsia" w:eastAsia="等线"/>
                <w:color w:val="auto"/>
                <w:lang w:eastAsia="zh-CN"/>
              </w:rPr>
            </w:pPr>
            <w:r>
              <w:rPr>
                <w:rFonts w:hint="eastAsia"/>
                <w:color w:val="auto"/>
                <w:sz w:val="21"/>
                <w:lang w:val="en-US" w:eastAsia="zh-CN"/>
              </w:rPr>
              <w:t>9</w:t>
            </w:r>
          </w:p>
        </w:tc>
        <w:tc>
          <w:tcPr>
            <w:tcW w:w="950"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供货保障</w:t>
            </w:r>
          </w:p>
          <w:p>
            <w:pPr>
              <w:spacing w:line="240" w:lineRule="auto"/>
              <w:rPr>
                <w:color w:val="auto"/>
              </w:rPr>
            </w:pPr>
            <w:r>
              <w:rPr>
                <w:rFonts w:hint="eastAsia"/>
                <w:color w:val="auto"/>
                <w:sz w:val="21"/>
              </w:rPr>
              <w:t>措    施</w:t>
            </w:r>
          </w:p>
        </w:tc>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b/>
                <w:color w:val="auto"/>
                <w:sz w:val="21"/>
              </w:rPr>
              <w:t>2</w:t>
            </w:r>
          </w:p>
        </w:tc>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为确保项目供货时间而采取的保证措施是否周详、科学合理。</w:t>
            </w:r>
          </w:p>
        </w:tc>
      </w:tr>
      <w:tr>
        <w:tblPrEx>
          <w:tblCellMar>
            <w:top w:w="0" w:type="dxa"/>
            <w:left w:w="108" w:type="dxa"/>
            <w:bottom w:w="0" w:type="dxa"/>
            <w:right w:w="108" w:type="dxa"/>
          </w:tblCellMar>
        </w:tblPrEx>
        <w:tc>
          <w:tcPr>
            <w:tcW w:w="323" w:type="dxa"/>
            <w:tcBorders>
              <w:top w:val="single" w:color="EEEEEE" w:sz="6" w:space="0"/>
              <w:left w:val="single" w:color="EEEEEE" w:sz="6" w:space="0"/>
              <w:bottom w:val="single" w:color="EEEEEE" w:sz="6" w:space="0"/>
              <w:right w:val="single" w:color="EEEEEE" w:sz="6" w:space="0"/>
            </w:tcBorders>
          </w:tcPr>
          <w:p>
            <w:pPr>
              <w:spacing w:line="240" w:lineRule="auto"/>
              <w:rPr>
                <w:rFonts w:hint="default" w:eastAsia="等线"/>
                <w:color w:val="auto"/>
                <w:lang w:val="en-US" w:eastAsia="zh-CN"/>
              </w:rPr>
            </w:pPr>
            <w:r>
              <w:rPr>
                <w:rFonts w:hint="eastAsia"/>
                <w:color w:val="auto"/>
                <w:sz w:val="21"/>
                <w:lang w:val="en-US" w:eastAsia="zh-CN"/>
              </w:rPr>
              <w:t>10</w:t>
            </w:r>
          </w:p>
        </w:tc>
        <w:tc>
          <w:tcPr>
            <w:tcW w:w="950" w:type="dxa"/>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培训计划</w:t>
            </w:r>
          </w:p>
        </w:tc>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b/>
                <w:color w:val="auto"/>
                <w:sz w:val="21"/>
              </w:rPr>
              <w:t>2</w:t>
            </w:r>
          </w:p>
        </w:tc>
        <w:tc>
          <w:tcPr>
            <w:tcBorders>
              <w:top w:val="single" w:color="EEEEEE" w:sz="6" w:space="0"/>
              <w:left w:val="single" w:color="EEEEEE" w:sz="6" w:space="0"/>
              <w:bottom w:val="single" w:color="EEEEEE" w:sz="6" w:space="0"/>
              <w:right w:val="single" w:color="EEEEEE" w:sz="6" w:space="0"/>
            </w:tcBorders>
          </w:tcPr>
          <w:p>
            <w:pPr>
              <w:spacing w:line="240" w:lineRule="auto"/>
              <w:rPr>
                <w:color w:val="auto"/>
              </w:rPr>
            </w:pPr>
            <w:r>
              <w:rPr>
                <w:rFonts w:hint="eastAsia"/>
                <w:color w:val="auto"/>
                <w:sz w:val="21"/>
              </w:rPr>
              <w:t>1.项目培训方案是否合理、具体、有针对性；</w:t>
            </w:r>
          </w:p>
          <w:p>
            <w:pPr>
              <w:spacing w:line="240" w:lineRule="auto"/>
              <w:rPr>
                <w:color w:val="auto"/>
              </w:rPr>
            </w:pPr>
            <w:r>
              <w:rPr>
                <w:rFonts w:hint="eastAsia"/>
                <w:color w:val="auto"/>
                <w:sz w:val="21"/>
              </w:rPr>
              <w:t>2.人员培训安排是否满足</w:t>
            </w:r>
            <w:r>
              <w:rPr>
                <w:rFonts w:hint="eastAsia"/>
                <w:color w:val="auto"/>
                <w:sz w:val="21"/>
                <w:lang w:val="en-US" w:eastAsia="zh-CN"/>
              </w:rPr>
              <w:t>公告</w:t>
            </w:r>
            <w:r>
              <w:rPr>
                <w:rFonts w:hint="eastAsia"/>
                <w:color w:val="auto"/>
                <w:sz w:val="21"/>
              </w:rPr>
              <w:t>要求。</w:t>
            </w:r>
          </w:p>
        </w:tc>
      </w:tr>
    </w:tbl>
    <w:p>
      <w:pPr>
        <w:spacing w:line="240" w:lineRule="auto"/>
        <w:rPr>
          <w:color w:val="auto"/>
        </w:rPr>
      </w:pPr>
    </w:p>
    <w:p>
      <w:pPr>
        <w:spacing w:line="240" w:lineRule="auto"/>
        <w:rPr>
          <w:color w:val="auto"/>
        </w:rPr>
      </w:pP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imHei, STHeiti">
    <w:altName w:val="Segoe Print"/>
    <w:panose1 w:val="00000000000000000000"/>
    <w:charset w:val="00"/>
    <w:family w:val="auto"/>
    <w:pitch w:val="default"/>
    <w:sig w:usb0="00000000" w:usb1="00000000" w:usb2="00000000" w:usb3="00000000" w:csb0="00000000"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B2056"/>
    <w:multiLevelType w:val="singleLevel"/>
    <w:tmpl w:val="CDAB2056"/>
    <w:lvl w:ilvl="0" w:tentative="0">
      <w:start w:val="1"/>
      <w:numFmt w:val="decimal"/>
      <w:suff w:val="nothing"/>
      <w:lvlText w:val="%1、"/>
      <w:lvlJc w:val="left"/>
    </w:lvl>
  </w:abstractNum>
  <w:abstractNum w:abstractNumId="1">
    <w:nsid w:val="FE9A5839"/>
    <w:multiLevelType w:val="singleLevel"/>
    <w:tmpl w:val="FE9A58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doNotExpandShiftReturn/>
    <w:useFELayout/>
    <w:compatSetting w:name="compatibilityMode" w:uri="http://schemas.microsoft.com/office/word" w:val="16"/>
    <w:compatSetting w:name="overrideTableStyleFontSizeAndJustification" w:uri="http://schemas.microsoft.com/office/word" w:val="1"/>
  </w:compat>
  <w:docVars>
    <w:docVar w:name="commondata" w:val="eyJoZGlkIjoiOGJiZjJiZjUzZTBlZTg5ZGY5MTNmMzFkZGUzODQzMzYifQ=="/>
  </w:docVars>
  <w:rsids>
    <w:rsidRoot w:val="00000000"/>
    <w:rsid w:val="0D2F6C5C"/>
    <w:rsid w:val="40017875"/>
    <w:rsid w:val="46FF4D4E"/>
    <w:rsid w:val="4B92791D"/>
    <w:rsid w:val="52BF1E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autoRedefine/>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autoRedefine/>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autoRedefine/>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autoRedefine/>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left="720"/>
    </w:pPr>
  </w:style>
  <w:style w:type="paragraph" w:styleId="7">
    <w:name w:val="caption"/>
    <w:basedOn w:val="1"/>
    <w:next w:val="1"/>
    <w:autoRedefine/>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autoRedefine/>
    <w:unhideWhenUsed/>
    <w:qFormat/>
    <w:uiPriority w:val="99"/>
    <w:pPr>
      <w:tabs>
        <w:tab w:val="center" w:pos="4680"/>
        <w:tab w:val="right" w:pos="9360"/>
      </w:tabs>
    </w:pPr>
  </w:style>
  <w:style w:type="paragraph" w:styleId="9">
    <w:name w:val="Subtitle"/>
    <w:basedOn w:val="1"/>
    <w:next w:val="1"/>
    <w:link w:val="21"/>
    <w:autoRedefine/>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autoRedefine/>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autoRedefine/>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autoRedefine/>
    <w:qFormat/>
    <w:uiPriority w:val="20"/>
    <w:rPr>
      <w:i/>
      <w:iCs/>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Header Char"/>
    <w:basedOn w:val="13"/>
    <w:link w:val="8"/>
    <w:autoRedefine/>
    <w:qFormat/>
    <w:uiPriority w:val="99"/>
  </w:style>
  <w:style w:type="character" w:customStyle="1" w:styleId="17">
    <w:name w:val="Heading 1 Char"/>
    <w:basedOn w:val="13"/>
    <w:link w:val="2"/>
    <w:autoRedefine/>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autoRedefine/>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autoRedefine/>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autoRedefine/>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86</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2024-04-26T09:47:00Z</dcterms:created>
  <dc:creator>WPS_1617248994</dc:creator>
  <cp:lastModifiedBy>WPS_1617248994</cp:lastModifiedBy>
  <dcterms:modified xsi:type="dcterms:W3CDTF">2024-04-28T04:02:56Z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8A03511F755F4C41943554FE30A52245_13</vt:lpwstr>
  </property>
</Properties>
</file>